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1DF7">
      <w:pPr>
        <w:spacing w:line="580" w:lineRule="exact"/>
        <w:jc w:val="center"/>
        <w:rPr>
          <w:rFonts w:ascii="Times New Roman" w:hAnsi="Times New Roman" w:eastAsia="方正小标宋_GBK"/>
          <w:sz w:val="44"/>
          <w:szCs w:val="44"/>
        </w:rPr>
      </w:pPr>
      <w:bookmarkStart w:id="2" w:name="_GoBack"/>
      <w:bookmarkEnd w:id="2"/>
      <w:r>
        <w:rPr>
          <w:rFonts w:ascii="Times New Roman" w:hAnsi="Times New Roman" w:eastAsia="方正小标宋_GBK"/>
          <w:sz w:val="44"/>
          <w:szCs w:val="44"/>
        </w:rPr>
        <w:t>江苏省医疗卫生信用信息管理办法</w:t>
      </w:r>
    </w:p>
    <w:p w14:paraId="2B06D0C2">
      <w:pPr>
        <w:spacing w:line="580" w:lineRule="exact"/>
        <w:ind w:firstLine="640" w:firstLineChars="200"/>
        <w:jc w:val="center"/>
        <w:outlineLvl w:val="0"/>
        <w:rPr>
          <w:rFonts w:ascii="Times New Roman" w:hAnsi="Times New Roman" w:eastAsia="黑体"/>
          <w:sz w:val="32"/>
          <w:szCs w:val="32"/>
        </w:rPr>
      </w:pPr>
    </w:p>
    <w:p w14:paraId="6348325F">
      <w:pPr>
        <w:spacing w:line="580" w:lineRule="exact"/>
        <w:jc w:val="center"/>
        <w:outlineLvl w:val="0"/>
        <w:rPr>
          <w:rFonts w:ascii="Times New Roman" w:hAnsi="Times New Roman" w:eastAsia="方正黑体_GBK"/>
          <w:sz w:val="32"/>
          <w:szCs w:val="32"/>
        </w:rPr>
      </w:pPr>
      <w:r>
        <w:rPr>
          <w:rFonts w:ascii="Times New Roman" w:hAnsi="Times New Roman" w:eastAsia="方正黑体_GBK"/>
          <w:sz w:val="32"/>
          <w:szCs w:val="32"/>
        </w:rPr>
        <w:t>第一章 总则</w:t>
      </w:r>
    </w:p>
    <w:p w14:paraId="588798AA">
      <w:pPr>
        <w:spacing w:line="580" w:lineRule="exact"/>
        <w:ind w:firstLine="420" w:firstLineChars="200"/>
        <w:rPr>
          <w:rFonts w:ascii="Times New Roman" w:hAnsi="Times New Roman" w:eastAsia="仿宋_GB2312"/>
        </w:rPr>
      </w:pPr>
    </w:p>
    <w:p w14:paraId="48A1CF24">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第一条 </w:t>
      </w:r>
      <w:r>
        <w:rPr>
          <w:rFonts w:ascii="Times New Roman" w:hAnsi="Times New Roman" w:eastAsia="方正仿宋_GBK"/>
          <w:sz w:val="32"/>
          <w:szCs w:val="32"/>
        </w:rPr>
        <w:t>为了规范和促进全省医疗卫生领域信用管理，建立健全信用监管机制，推进医疗卫生领域社会信用体系建设，根据有关规定，结合本省实际，制定本办法。</w:t>
      </w:r>
    </w:p>
    <w:p w14:paraId="4BD458F2">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第二条 </w:t>
      </w:r>
      <w:r>
        <w:rPr>
          <w:rFonts w:ascii="Times New Roman" w:hAnsi="Times New Roman" w:eastAsia="方正仿宋_GBK"/>
          <w:sz w:val="32"/>
          <w:szCs w:val="32"/>
        </w:rPr>
        <w:t>本办法所称的医疗卫生信用信息，是指卫生健康行政部门（含中医药主管部门、疾病预防控制部门）在依法履行卫生健康管理职责过程中产生或者获取的反映</w:t>
      </w:r>
      <w:r>
        <w:rPr>
          <w:rFonts w:ascii="Times New Roman" w:hAnsi="Times New Roman" w:eastAsia="方正仿宋_GBK"/>
          <w:bCs/>
          <w:sz w:val="32"/>
          <w:szCs w:val="32"/>
        </w:rPr>
        <w:t>自然人、法人和非法人组织等</w:t>
      </w:r>
      <w:r>
        <w:rPr>
          <w:rFonts w:ascii="Times New Roman" w:hAnsi="Times New Roman" w:eastAsia="方正仿宋_GBK"/>
          <w:sz w:val="32"/>
          <w:szCs w:val="32"/>
        </w:rPr>
        <w:t xml:space="preserve">信用主体医疗卫生信用状况的客观数据和资料。 </w:t>
      </w:r>
    </w:p>
    <w:p w14:paraId="12730D67">
      <w:pPr>
        <w:spacing w:line="580" w:lineRule="exact"/>
        <w:ind w:firstLine="643"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第三条 </w:t>
      </w:r>
      <w:r>
        <w:rPr>
          <w:rFonts w:ascii="Times New Roman" w:hAnsi="Times New Roman" w:eastAsia="方正仿宋_GBK"/>
          <w:sz w:val="32"/>
          <w:szCs w:val="32"/>
        </w:rPr>
        <w:t>本省行政区域内医疗卫生信用信息的认定、记录、归集、评价、应用、公开、共享、异议申请、修复和监督管理，适用本办法。</w:t>
      </w:r>
    </w:p>
    <w:p w14:paraId="1CDF9B43">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第四条 </w:t>
      </w:r>
      <w:r>
        <w:rPr>
          <w:rFonts w:ascii="Times New Roman" w:hAnsi="Times New Roman" w:eastAsia="方正仿宋_GBK"/>
          <w:sz w:val="32"/>
          <w:szCs w:val="32"/>
        </w:rPr>
        <w:t>医疗卫生信用信息管理应当遵循合法、安全、客观、关联、审慎的原则，维护信用主体合法权益，不得危害国家秘密，不得侵犯商业秘密和个人隐私。按照“谁提供、谁负责”的要求，保证数据真实可靠、质量合格。</w:t>
      </w:r>
    </w:p>
    <w:p w14:paraId="68BD480A">
      <w:pPr>
        <w:pStyle w:val="11"/>
        <w:spacing w:after="0" w:line="580" w:lineRule="exact"/>
        <w:ind w:firstLine="643"/>
        <w:rPr>
          <w:rFonts w:eastAsia="方正仿宋_GBK"/>
          <w:b/>
        </w:rPr>
      </w:pPr>
      <w:r>
        <w:rPr>
          <w:rFonts w:eastAsia="方正仿宋_GBK"/>
          <w:b/>
        </w:rPr>
        <w:t xml:space="preserve">第五条 </w:t>
      </w:r>
      <w:r>
        <w:rPr>
          <w:rFonts w:eastAsia="方正仿宋_GBK"/>
          <w:bCs w:val="0"/>
        </w:rPr>
        <w:t>省级卫生健康行政部门负责全省医疗卫生信用信息管理，开展信用评价、信用信息化建设和业务指导等工作。</w:t>
      </w:r>
    </w:p>
    <w:p w14:paraId="5CA8DBBF">
      <w:pPr>
        <w:pStyle w:val="11"/>
        <w:spacing w:after="0" w:line="580" w:lineRule="exact"/>
        <w:rPr>
          <w:rFonts w:eastAsia="方正仿宋_GBK"/>
        </w:rPr>
      </w:pPr>
      <w:r>
        <w:rPr>
          <w:rFonts w:eastAsia="方正仿宋_GBK"/>
        </w:rPr>
        <w:t>市、县级卫生健康行政部门负责本行政区域内的医疗卫生信用信息管理。</w:t>
      </w:r>
    </w:p>
    <w:p w14:paraId="0270A7D0">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第六条 </w:t>
      </w:r>
      <w:r>
        <w:rPr>
          <w:rFonts w:ascii="Times New Roman" w:hAnsi="Times New Roman" w:eastAsia="方正仿宋_GBK"/>
          <w:sz w:val="32"/>
          <w:szCs w:val="32"/>
        </w:rPr>
        <w:t>省级卫生健康行政部门加强信用管理信息化建设，依托信息化手段开展医疗卫生信用信息管理，统一归集全省医疗卫生信用信息，及时、准确、完整、全面地向省公共信用信息共享平台提供医疗卫生信用信息；市、县级卫生健康行政部门应当及时向省级卫生健康行政部门报送本地区的医疗卫生信用信息，并向同级政府公共信用信息共享平台提供相关医疗卫生信用信息。</w:t>
      </w:r>
    </w:p>
    <w:p w14:paraId="0226256C">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第七条 </w:t>
      </w:r>
      <w:r>
        <w:rPr>
          <w:rFonts w:ascii="Times New Roman" w:hAnsi="Times New Roman" w:eastAsia="方正仿宋_GBK"/>
          <w:sz w:val="32"/>
          <w:szCs w:val="32"/>
        </w:rPr>
        <w:t>对以告知承诺制方式取得的行政许可，将信用承诺履行情况作为事中事后监管依据。</w:t>
      </w:r>
    </w:p>
    <w:p w14:paraId="5CFB904F">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依法履行卫生健康管理职责过程中，应当开展信用知识宣传教育，提高管理相对人遵纪守法，诚实守信意识。</w:t>
      </w:r>
    </w:p>
    <w:p w14:paraId="36AA3A0A">
      <w:pPr>
        <w:pStyle w:val="11"/>
        <w:spacing w:after="0" w:line="580" w:lineRule="exact"/>
      </w:pPr>
    </w:p>
    <w:p w14:paraId="11D16EF3">
      <w:pPr>
        <w:spacing w:line="580" w:lineRule="exact"/>
        <w:jc w:val="center"/>
        <w:outlineLvl w:val="0"/>
        <w:rPr>
          <w:rFonts w:ascii="Times New Roman" w:hAnsi="Times New Roman" w:eastAsia="方正黑体_GBK"/>
          <w:sz w:val="32"/>
          <w:szCs w:val="32"/>
        </w:rPr>
      </w:pPr>
      <w:r>
        <w:rPr>
          <w:rFonts w:ascii="Times New Roman" w:hAnsi="Times New Roman" w:eastAsia="方正黑体_GBK"/>
          <w:sz w:val="32"/>
          <w:szCs w:val="32"/>
        </w:rPr>
        <w:t xml:space="preserve">第二章 </w:t>
      </w:r>
      <w:r>
        <w:rPr>
          <w:rFonts w:hint="eastAsia" w:ascii="Times New Roman" w:hAnsi="Times New Roman" w:eastAsia="方正黑体_GBK"/>
          <w:sz w:val="32"/>
          <w:szCs w:val="32"/>
        </w:rPr>
        <w:t>认定、</w:t>
      </w:r>
      <w:r>
        <w:rPr>
          <w:rFonts w:ascii="Times New Roman" w:hAnsi="Times New Roman" w:eastAsia="方正黑体_GBK"/>
          <w:sz w:val="32"/>
          <w:szCs w:val="32"/>
        </w:rPr>
        <w:t>记录和归集</w:t>
      </w:r>
    </w:p>
    <w:p w14:paraId="449BB991">
      <w:pPr>
        <w:pStyle w:val="11"/>
        <w:spacing w:after="0" w:line="580" w:lineRule="exact"/>
        <w:ind w:firstLine="643"/>
        <w:outlineLvl w:val="1"/>
        <w:rPr>
          <w:rFonts w:eastAsia="方正仿宋_GBK"/>
          <w:b/>
        </w:rPr>
      </w:pPr>
    </w:p>
    <w:p w14:paraId="1D71FDC0">
      <w:pPr>
        <w:spacing w:line="580" w:lineRule="exact"/>
        <w:ind w:firstLine="643"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第八条 </w:t>
      </w:r>
      <w:r>
        <w:rPr>
          <w:rFonts w:ascii="Times New Roman" w:hAnsi="Times New Roman" w:eastAsia="方正仿宋_GBK"/>
          <w:bCs/>
          <w:sz w:val="32"/>
          <w:szCs w:val="32"/>
        </w:rPr>
        <w:t>医疗卫生信用信息分为基础信息、增信信息、失信信息和其他信息。</w:t>
      </w:r>
    </w:p>
    <w:p w14:paraId="0E08120C">
      <w:pPr>
        <w:autoSpaceDE w:val="0"/>
        <w:spacing w:line="580" w:lineRule="exact"/>
        <w:ind w:firstLine="643" w:firstLineChars="200"/>
        <w:rPr>
          <w:rFonts w:ascii="Times New Roman" w:hAnsi="Times New Roman" w:eastAsia="方正仿宋_GBK"/>
          <w:b/>
          <w:sz w:val="32"/>
          <w:szCs w:val="32"/>
        </w:rPr>
      </w:pPr>
      <w:r>
        <w:rPr>
          <w:rFonts w:ascii="Times New Roman" w:hAnsi="Times New Roman" w:eastAsia="方正仿宋_GBK"/>
          <w:b/>
          <w:sz w:val="32"/>
          <w:szCs w:val="32"/>
        </w:rPr>
        <w:t xml:space="preserve">第九条 </w:t>
      </w:r>
      <w:r>
        <w:rPr>
          <w:rFonts w:ascii="Times New Roman" w:hAnsi="Times New Roman" w:eastAsia="方正仿宋_GBK"/>
          <w:sz w:val="32"/>
          <w:szCs w:val="32"/>
        </w:rPr>
        <w:t>基础信息包括以下内容：</w:t>
      </w:r>
    </w:p>
    <w:p w14:paraId="6F51BD17">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（一）自然人姓名、有效身份证件号码等身份识别信息；</w:t>
      </w:r>
    </w:p>
    <w:p w14:paraId="1D53BE90">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（二）法人和非法人组织名称、统一社会信用代码等登记注册基本信息；</w:t>
      </w:r>
    </w:p>
    <w:p w14:paraId="2CC37FCC">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（三）行政许可、行政备案、行政确认信息；</w:t>
      </w:r>
    </w:p>
    <w:p w14:paraId="5C2504D7">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（四）医疗卫生相关职称和职业信息</w:t>
      </w:r>
      <w:r>
        <w:rPr>
          <w:rFonts w:ascii="Times New Roman" w:hAnsi="Times New Roman" w:eastAsia="方正仿宋_GBK"/>
          <w:sz w:val="32"/>
          <w:szCs w:val="32"/>
        </w:rPr>
        <w:t>；</w:t>
      </w:r>
    </w:p>
    <w:p w14:paraId="5D546CCF">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（五）其他可以反映信用主体基本情况的信息。</w:t>
      </w:r>
    </w:p>
    <w:p w14:paraId="5EDA7C8E">
      <w:pPr>
        <w:autoSpaceDE w:val="0"/>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第十条 </w:t>
      </w:r>
      <w:r>
        <w:rPr>
          <w:rFonts w:ascii="Times New Roman" w:hAnsi="Times New Roman" w:eastAsia="方正仿宋_GBK"/>
          <w:sz w:val="32"/>
          <w:szCs w:val="32"/>
        </w:rPr>
        <w:t>增信信息包括以下内容：</w:t>
      </w:r>
    </w:p>
    <w:p w14:paraId="77656232">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（一）受到县级以上党委、人民政府医疗卫生相关表彰、奖励等信息；</w:t>
      </w:r>
    </w:p>
    <w:p w14:paraId="7416FD52">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（二）受到县级以上卫生健康行政部门表彰、奖励等信息；</w:t>
      </w:r>
    </w:p>
    <w:p w14:paraId="291AED70">
      <w:pPr>
        <w:pStyle w:val="11"/>
        <w:spacing w:after="0" w:line="580" w:lineRule="exact"/>
        <w:rPr>
          <w:rFonts w:eastAsia="方正仿宋_GBK"/>
        </w:rPr>
      </w:pPr>
      <w:r>
        <w:rPr>
          <w:rFonts w:eastAsia="方正仿宋_GBK"/>
        </w:rPr>
        <w:t>（三）参与县级以上党委、人民政府及其卫生健康行政部门组织开展的与医疗卫生相关的乡村振兴、对口支援、抢险救灾等活动信息；</w:t>
      </w:r>
    </w:p>
    <w:p w14:paraId="0677FE70">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（四）其他可以提升信用主体信誉和社会认可度的信息。</w:t>
      </w:r>
    </w:p>
    <w:p w14:paraId="1DF647B8">
      <w:pPr>
        <w:autoSpaceDE w:val="0"/>
        <w:spacing w:line="580" w:lineRule="exact"/>
        <w:ind w:firstLine="643"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第十一条 </w:t>
      </w:r>
      <w:r>
        <w:rPr>
          <w:rFonts w:ascii="Times New Roman" w:hAnsi="Times New Roman" w:eastAsia="方正仿宋_GBK"/>
          <w:sz w:val="32"/>
          <w:szCs w:val="32"/>
        </w:rPr>
        <w:t>失信信息</w:t>
      </w:r>
      <w:r>
        <w:rPr>
          <w:rFonts w:ascii="Times New Roman" w:hAnsi="Times New Roman" w:eastAsia="方正仿宋_GBK"/>
          <w:bCs/>
          <w:sz w:val="32"/>
          <w:szCs w:val="32"/>
        </w:rPr>
        <w:t>包括以下内容：</w:t>
      </w:r>
    </w:p>
    <w:p w14:paraId="5D88D3E0">
      <w:pPr>
        <w:autoSpaceDE w:val="0"/>
        <w:spacing w:line="580" w:lineRule="exact"/>
        <w:ind w:firstLine="640" w:firstLineChars="200"/>
        <w:outlineLvl w:val="1"/>
        <w:rPr>
          <w:rFonts w:ascii="Times New Roman" w:hAnsi="Times New Roman" w:eastAsia="方正仿宋_GBK"/>
          <w:b/>
          <w:sz w:val="32"/>
          <w:szCs w:val="32"/>
        </w:rPr>
      </w:pPr>
      <w:r>
        <w:rPr>
          <w:rFonts w:ascii="Times New Roman" w:hAnsi="Times New Roman" w:eastAsia="方正仿宋_GBK"/>
          <w:bCs/>
          <w:sz w:val="32"/>
          <w:szCs w:val="32"/>
        </w:rPr>
        <w:t>（一）以简易程序对信用主体作出的行政处罚信息，或者以普通程序对信用主体作出的警告、通报批评的行政处罚信息；</w:t>
      </w:r>
    </w:p>
    <w:p w14:paraId="19E2FE5F">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（二）对信用主体作出本条款第（一）项以外的行政处罚信息；</w:t>
      </w:r>
    </w:p>
    <w:p w14:paraId="52412961">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（三）医疗卫生相关行政强制、行政裁决、刑事判决等行为中反映信用主体违法失信的信息；</w:t>
      </w:r>
    </w:p>
    <w:p w14:paraId="042F38A3">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（四）申请属于直接关系公共安全、人身健康、生命财产安全的医疗卫生行政许可时，向审批机构隐瞒有关情况、提供虚假材料或者以欺骗、贿赂等不正当手段取得许可的信息；</w:t>
      </w:r>
    </w:p>
    <w:p w14:paraId="6E2E1E7F">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（五）农村订单定向医学生违约的信息；</w:t>
      </w:r>
    </w:p>
    <w:p w14:paraId="53B34CE2">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（六）在医疗卫生相关信用承诺中虚假承诺或者不履行承诺的信息，及因承诺不实被撤销许可的信息；</w:t>
      </w:r>
    </w:p>
    <w:p w14:paraId="6BB0B631">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（七）医疗卫生相关科研诚信严重失信行为数据信息；</w:t>
      </w:r>
    </w:p>
    <w:p w14:paraId="02C1E2F6">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（八）在接受卫生健康行政管理和服务过程中，提供虚假材料、隐瞒事实真相、瞒报谎报信息等弄虚作假行为的信息；</w:t>
      </w:r>
    </w:p>
    <w:p w14:paraId="3DEB8A0F">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（九）违反医疗卫生相关诚信执业规范造成不良影响的信息；</w:t>
      </w:r>
    </w:p>
    <w:p w14:paraId="2E92848D">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（十）拒不履行卫生健康行政处罚决定、涉及医疗卫生的司法判决等生效法律文书确定义务的信息；</w:t>
      </w:r>
    </w:p>
    <w:p w14:paraId="1C102ACE">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（十一）</w:t>
      </w:r>
      <w:r>
        <w:rPr>
          <w:rFonts w:ascii="Times New Roman" w:hAnsi="Times New Roman" w:eastAsia="方正仿宋_GBK"/>
          <w:sz w:val="32"/>
          <w:szCs w:val="32"/>
        </w:rPr>
        <w:t>被</w:t>
      </w:r>
      <w:r>
        <w:rPr>
          <w:rFonts w:ascii="Times New Roman" w:hAnsi="Times New Roman" w:eastAsia="方正仿宋_GBK"/>
          <w:bCs/>
          <w:sz w:val="32"/>
          <w:szCs w:val="32"/>
        </w:rPr>
        <w:t>列入医疗卫生行业严重失信主体名单的信息；</w:t>
      </w:r>
    </w:p>
    <w:p w14:paraId="7AEFEB80">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（十二）法律、法规和党中央、国务院政策文件规定的其他失信信息。</w:t>
      </w:r>
    </w:p>
    <w:p w14:paraId="0884BACD">
      <w:pPr>
        <w:pStyle w:val="11"/>
        <w:autoSpaceDE w:val="0"/>
        <w:spacing w:after="0" w:line="580" w:lineRule="exact"/>
        <w:ind w:firstLine="643"/>
        <w:rPr>
          <w:rFonts w:eastAsia="方正仿宋_GBK"/>
          <w:color w:val="333333"/>
          <w:shd w:val="clear" w:color="auto" w:fill="FFFFFF"/>
        </w:rPr>
      </w:pPr>
      <w:r>
        <w:rPr>
          <w:rFonts w:eastAsia="方正仿宋_GBK"/>
          <w:b/>
          <w:bCs w:val="0"/>
        </w:rPr>
        <w:t xml:space="preserve">第十二条 </w:t>
      </w:r>
      <w:r>
        <w:rPr>
          <w:rFonts w:eastAsia="方正仿宋_GBK"/>
        </w:rPr>
        <w:t>医疗卫生失信信息按照失信严重程度</w:t>
      </w:r>
      <w:r>
        <w:rPr>
          <w:rFonts w:eastAsia="方正仿宋_GBK"/>
          <w:color w:val="333333"/>
          <w:shd w:val="clear" w:color="auto" w:fill="FFFFFF"/>
        </w:rPr>
        <w:t>分为“轻微、一般、严重”三类，分类标准按照国家有关规定执行。</w:t>
      </w:r>
    </w:p>
    <w:p w14:paraId="28F5F404">
      <w:pPr>
        <w:spacing w:line="580" w:lineRule="exact"/>
        <w:ind w:firstLine="643"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第十三条 </w:t>
      </w:r>
      <w:r>
        <w:rPr>
          <w:rFonts w:ascii="Times New Roman" w:hAnsi="Times New Roman" w:eastAsia="方正仿宋_GBK"/>
          <w:bCs/>
          <w:sz w:val="32"/>
          <w:szCs w:val="32"/>
        </w:rPr>
        <w:t>其他信息包括以下内容：</w:t>
      </w:r>
    </w:p>
    <w:p w14:paraId="6F2887F1">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Cs/>
          <w:sz w:val="32"/>
          <w:szCs w:val="32"/>
        </w:rPr>
        <w:t>（一）首违不罚和轻微免罚信息；</w:t>
      </w:r>
    </w:p>
    <w:p w14:paraId="35C4E3CE">
      <w:pPr>
        <w:pStyle w:val="11"/>
        <w:spacing w:after="0" w:line="580" w:lineRule="exact"/>
        <w:rPr>
          <w:rFonts w:eastAsia="方正仿宋_GBK"/>
        </w:rPr>
      </w:pPr>
      <w:r>
        <w:rPr>
          <w:rFonts w:eastAsia="方正仿宋_GBK"/>
        </w:rPr>
        <w:t>（二）行政给付、行政监督检查等行政管理信息；</w:t>
      </w:r>
    </w:p>
    <w:p w14:paraId="0D58DD46">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（三）信用承诺及履行信息，包括</w:t>
      </w:r>
      <w:r>
        <w:rPr>
          <w:rFonts w:ascii="Times New Roman" w:hAnsi="Times New Roman" w:eastAsia="方正仿宋_GBK"/>
          <w:bCs/>
          <w:sz w:val="32"/>
          <w:szCs w:val="32"/>
        </w:rPr>
        <w:t>在接受卫生健康行政管理和服务过程中作出的信用承诺及履行信息，适用告知承诺制的证明事项、行政许可、信用修复等活动中所产生的信用承诺及履行信息等；</w:t>
      </w:r>
    </w:p>
    <w:p w14:paraId="381E4CE3">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（四）医疗卫生信用评价结果信息；</w:t>
      </w:r>
    </w:p>
    <w:p w14:paraId="516E08CC">
      <w:pPr>
        <w:pStyle w:val="11"/>
        <w:spacing w:after="0" w:line="580" w:lineRule="exact"/>
        <w:rPr>
          <w:rFonts w:eastAsia="方正仿宋_GBK"/>
        </w:rPr>
      </w:pPr>
      <w:r>
        <w:rPr>
          <w:rFonts w:eastAsia="方正仿宋_GBK"/>
        </w:rPr>
        <w:t>（五）其他可以反映信用主体信用状况的信息。</w:t>
      </w:r>
    </w:p>
    <w:p w14:paraId="7238CF1B">
      <w:pPr>
        <w:pStyle w:val="11"/>
        <w:spacing w:after="0" w:line="580" w:lineRule="exact"/>
        <w:ind w:firstLine="643"/>
        <w:rPr>
          <w:rFonts w:eastAsia="方正仿宋_GBK"/>
        </w:rPr>
      </w:pPr>
      <w:r>
        <w:rPr>
          <w:rFonts w:eastAsia="方正仿宋_GBK"/>
          <w:b/>
        </w:rPr>
        <w:t xml:space="preserve">第十四条 </w:t>
      </w:r>
      <w:r>
        <w:rPr>
          <w:rFonts w:eastAsia="方正仿宋_GBK"/>
        </w:rPr>
        <w:t>医疗卫生信用信息应当依法依规认定，并记入相应主体的信用记录。</w:t>
      </w:r>
    </w:p>
    <w:p w14:paraId="7CE0F2BF">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第十五条 </w:t>
      </w:r>
      <w:r>
        <w:rPr>
          <w:rFonts w:ascii="Times New Roman" w:hAnsi="Times New Roman" w:eastAsia="方正仿宋_GBK"/>
          <w:sz w:val="32"/>
          <w:szCs w:val="32"/>
        </w:rPr>
        <w:t>归集医疗卫生信用信息应当遵照合法、正当、必要、最小化原则，严格按照现行有效的全国公共信用信息基础目录、地方公共信用信息补充目录等规定执行。</w:t>
      </w:r>
    </w:p>
    <w:p w14:paraId="5800BC20">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第十六条 </w:t>
      </w:r>
      <w:r>
        <w:rPr>
          <w:rFonts w:ascii="Times New Roman" w:hAnsi="Times New Roman" w:eastAsia="方正仿宋_GBK"/>
          <w:sz w:val="32"/>
          <w:szCs w:val="32"/>
        </w:rPr>
        <w:t>自然人信用信息的归集以有效身份证件的号码作为关联匹配标识。</w:t>
      </w:r>
    </w:p>
    <w:p w14:paraId="561BC97A">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法人和非法人组织信用信息的归集以统一社会信用代码作为关联匹配标识。未取得统一社会信用代码的法人和非法人组织，信用信息归集以设立或者经营该组织的相关单位统一社会信用代码作为关联匹配标识。</w:t>
      </w:r>
    </w:p>
    <w:p w14:paraId="68DF482C">
      <w:pPr>
        <w:pStyle w:val="11"/>
        <w:autoSpaceDE w:val="0"/>
        <w:spacing w:after="0" w:line="580" w:lineRule="exact"/>
        <w:ind w:firstLine="643"/>
        <w:rPr>
          <w:rFonts w:eastAsia="方正仿宋_GBK"/>
          <w:color w:val="333333"/>
          <w:shd w:val="clear" w:color="auto" w:fill="FFFFFF"/>
        </w:rPr>
      </w:pPr>
      <w:r>
        <w:rPr>
          <w:rFonts w:eastAsia="方正仿宋_GBK"/>
          <w:b/>
          <w:bCs w:val="0"/>
        </w:rPr>
        <w:t xml:space="preserve">第十七条 </w:t>
      </w:r>
      <w:r>
        <w:rPr>
          <w:rFonts w:eastAsia="方正仿宋_GBK"/>
          <w:color w:val="333333"/>
          <w:shd w:val="clear" w:color="auto" w:fill="FFFFFF"/>
        </w:rPr>
        <w:t>轻微失信信息归集期限为3个月，一般失信信息归集期限为1年，严重失信信息归集期限为3年，未分类的失信信息归集期限为1年，失信信息修复后不再归集。归集期限自失信信息产生之日起开始计算。</w:t>
      </w:r>
    </w:p>
    <w:p w14:paraId="3D88BD48">
      <w:pPr>
        <w:pStyle w:val="11"/>
        <w:spacing w:after="0" w:line="580" w:lineRule="exact"/>
        <w:rPr>
          <w:rFonts w:eastAsia="方正仿宋_GBK"/>
        </w:rPr>
      </w:pPr>
      <w:r>
        <w:rPr>
          <w:rFonts w:eastAsia="方正仿宋_GBK"/>
          <w:color w:val="333333"/>
          <w:shd w:val="clear" w:color="auto" w:fill="FFFFFF"/>
        </w:rPr>
        <w:t>法律、法规对相关违法违规行为规定了附带期限的惩戒措施的，失信信息归集期限与惩戒措施期限一致。</w:t>
      </w:r>
    </w:p>
    <w:p w14:paraId="32C189E4">
      <w:pPr>
        <w:spacing w:line="580" w:lineRule="exact"/>
        <w:outlineLvl w:val="0"/>
        <w:rPr>
          <w:rFonts w:ascii="Times New Roman" w:hAnsi="Times New Roman" w:eastAsia="黑体"/>
          <w:sz w:val="32"/>
          <w:szCs w:val="32"/>
        </w:rPr>
      </w:pPr>
    </w:p>
    <w:p w14:paraId="35F7A4DC">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第三章 信用</w:t>
      </w:r>
      <w:r>
        <w:rPr>
          <w:rFonts w:hint="eastAsia" w:ascii="Times New Roman" w:hAnsi="Times New Roman" w:eastAsia="黑体"/>
          <w:sz w:val="32"/>
          <w:szCs w:val="32"/>
        </w:rPr>
        <w:t>评价和应用</w:t>
      </w:r>
    </w:p>
    <w:p w14:paraId="1AFA4899">
      <w:pPr>
        <w:spacing w:line="580" w:lineRule="exact"/>
        <w:ind w:firstLine="643" w:firstLineChars="200"/>
        <w:outlineLvl w:val="1"/>
        <w:rPr>
          <w:rFonts w:ascii="Times New Roman" w:hAnsi="Times New Roman" w:eastAsia="方正仿宋_GBK"/>
          <w:b/>
          <w:sz w:val="32"/>
          <w:szCs w:val="32"/>
        </w:rPr>
      </w:pPr>
    </w:p>
    <w:p w14:paraId="71CFDBD0">
      <w:pPr>
        <w:spacing w:line="580" w:lineRule="exact"/>
        <w:ind w:firstLine="643"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第十八条 </w:t>
      </w:r>
      <w:r>
        <w:rPr>
          <w:rFonts w:ascii="Times New Roman" w:hAnsi="Times New Roman" w:eastAsia="方正仿宋_GBK"/>
          <w:bCs/>
          <w:sz w:val="32"/>
          <w:szCs w:val="32"/>
        </w:rPr>
        <w:t>县级以上卫生健康行政部门依据职责，归集信用主体的医疗卫生信用信息，开展信用评价，确定信用等级。根据信用信息变更情况，动态调整信用评价结果。</w:t>
      </w:r>
    </w:p>
    <w:p w14:paraId="54DA917F">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信用等级可以按照A级、B级、C级、D级等四个类别进行分类管理，未评价的按B级管理。</w:t>
      </w:r>
    </w:p>
    <w:p w14:paraId="7519D605">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第十九条 </w:t>
      </w:r>
      <w:r>
        <w:rPr>
          <w:rFonts w:ascii="Times New Roman" w:hAnsi="Times New Roman" w:eastAsia="方正仿宋_GBK"/>
          <w:sz w:val="32"/>
          <w:szCs w:val="32"/>
        </w:rPr>
        <w:t>符合以下全部条件的评为A级：</w:t>
      </w:r>
    </w:p>
    <w:p w14:paraId="5396D8CB">
      <w:pPr>
        <w:pStyle w:val="11"/>
        <w:spacing w:after="0" w:line="580" w:lineRule="exact"/>
        <w:rPr>
          <w:rFonts w:eastAsia="方正仿宋_GBK"/>
        </w:rPr>
      </w:pPr>
      <w:r>
        <w:rPr>
          <w:rFonts w:eastAsia="方正仿宋_GBK"/>
        </w:rPr>
        <w:t>（一）无本办法第十一条规定的失信信息；</w:t>
      </w:r>
    </w:p>
    <w:p w14:paraId="29B1771D">
      <w:pPr>
        <w:pStyle w:val="11"/>
        <w:spacing w:after="0" w:line="580" w:lineRule="exact"/>
        <w:rPr>
          <w:rFonts w:eastAsia="方正仿宋_GBK"/>
        </w:rPr>
      </w:pPr>
      <w:r>
        <w:rPr>
          <w:rFonts w:eastAsia="方正仿宋_GBK"/>
        </w:rPr>
        <w:t>（二）具有2条及以上本办法第十条规定的增信信息；</w:t>
      </w:r>
    </w:p>
    <w:p w14:paraId="4E3AF41A">
      <w:pPr>
        <w:pStyle w:val="11"/>
        <w:spacing w:after="0" w:line="580" w:lineRule="exact"/>
        <w:rPr>
          <w:rFonts w:eastAsia="方正仿宋_GBK"/>
        </w:rPr>
      </w:pPr>
      <w:r>
        <w:rPr>
          <w:rFonts w:eastAsia="方正仿宋_GBK"/>
        </w:rPr>
        <w:t>（三）未被列入其他行业严重失信主体名单；</w:t>
      </w:r>
    </w:p>
    <w:p w14:paraId="2D9347A8">
      <w:pPr>
        <w:pStyle w:val="11"/>
        <w:spacing w:after="0" w:line="580" w:lineRule="exact"/>
        <w:rPr>
          <w:rFonts w:eastAsia="方正仿宋_GBK"/>
        </w:rPr>
      </w:pPr>
      <w:r>
        <w:rPr>
          <w:rFonts w:eastAsia="方正仿宋_GBK"/>
        </w:rPr>
        <w:t>（四）无其他不宜评为A级的情形。</w:t>
      </w:r>
    </w:p>
    <w:p w14:paraId="1690A533">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第二十条 </w:t>
      </w:r>
      <w:r>
        <w:rPr>
          <w:rFonts w:ascii="Times New Roman" w:hAnsi="Times New Roman" w:eastAsia="方正仿宋_GBK"/>
          <w:sz w:val="32"/>
          <w:szCs w:val="32"/>
        </w:rPr>
        <w:t>符合以下条件的评为B级：</w:t>
      </w:r>
    </w:p>
    <w:p w14:paraId="7FBECE3B">
      <w:pPr>
        <w:pStyle w:val="11"/>
        <w:spacing w:after="0" w:line="580" w:lineRule="exact"/>
        <w:rPr>
          <w:rFonts w:eastAsia="方正仿宋_GBK"/>
        </w:rPr>
      </w:pPr>
      <w:r>
        <w:rPr>
          <w:rFonts w:eastAsia="方正仿宋_GBK"/>
        </w:rPr>
        <w:t>无本办法第十一条第（二）—（十二）项规定的失信信息，且不满足评为A级的条件。</w:t>
      </w:r>
    </w:p>
    <w:p w14:paraId="5CA517AB">
      <w:pPr>
        <w:pStyle w:val="11"/>
        <w:spacing w:after="0" w:line="580" w:lineRule="exact"/>
        <w:ind w:firstLine="643"/>
        <w:rPr>
          <w:rFonts w:eastAsia="方正仿宋_GBK"/>
        </w:rPr>
      </w:pPr>
      <w:r>
        <w:rPr>
          <w:rFonts w:eastAsia="方正仿宋_GBK"/>
          <w:b/>
        </w:rPr>
        <w:t xml:space="preserve">第二十一条 </w:t>
      </w:r>
      <w:r>
        <w:rPr>
          <w:rFonts w:eastAsia="方正仿宋_GBK"/>
        </w:rPr>
        <w:t>符合以下条件的评为C级：</w:t>
      </w:r>
    </w:p>
    <w:p w14:paraId="15B8CAB1">
      <w:pPr>
        <w:pStyle w:val="11"/>
        <w:spacing w:after="0" w:line="580" w:lineRule="exact"/>
        <w:rPr>
          <w:rFonts w:eastAsia="方正仿宋_GBK"/>
        </w:rPr>
      </w:pPr>
      <w:r>
        <w:rPr>
          <w:rFonts w:eastAsia="方正仿宋_GBK"/>
        </w:rPr>
        <w:t>存在本办法第十一条第（二）—（十）、（十二）项规定的失信信息，且无第（十一）项规定的失信信息。</w:t>
      </w:r>
    </w:p>
    <w:p w14:paraId="157B5C65">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第二十二条 </w:t>
      </w:r>
      <w:r>
        <w:rPr>
          <w:rFonts w:ascii="Times New Roman" w:hAnsi="Times New Roman" w:eastAsia="方正仿宋_GBK"/>
          <w:sz w:val="32"/>
          <w:szCs w:val="32"/>
        </w:rPr>
        <w:t>符合以下条件的评为D级：</w:t>
      </w:r>
    </w:p>
    <w:p w14:paraId="0C9BF2FA">
      <w:pPr>
        <w:pStyle w:val="11"/>
        <w:spacing w:after="0" w:line="580" w:lineRule="exact"/>
        <w:rPr>
          <w:rFonts w:eastAsia="方正仿宋_GBK"/>
        </w:rPr>
      </w:pPr>
      <w:r>
        <w:rPr>
          <w:rFonts w:eastAsia="方正仿宋_GBK"/>
        </w:rPr>
        <w:t>存在本办法第十一条第（十一）项规定的失信信息。</w:t>
      </w:r>
    </w:p>
    <w:p w14:paraId="22F91B9E">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第二十三条 </w:t>
      </w:r>
      <w:r>
        <w:rPr>
          <w:rFonts w:ascii="Times New Roman" w:hAnsi="Times New Roman" w:eastAsia="方正仿宋_GBK"/>
          <w:sz w:val="32"/>
          <w:szCs w:val="32"/>
        </w:rPr>
        <w:t>设立或</w:t>
      </w:r>
      <w:r>
        <w:rPr>
          <w:rFonts w:ascii="Times New Roman" w:hAnsi="Times New Roman" w:eastAsia="方正仿宋_GBK"/>
          <w:bCs/>
          <w:sz w:val="32"/>
          <w:szCs w:val="32"/>
        </w:rPr>
        <w:t>者</w:t>
      </w:r>
      <w:r>
        <w:rPr>
          <w:rFonts w:ascii="Times New Roman" w:hAnsi="Times New Roman" w:eastAsia="方正仿宋_GBK"/>
          <w:sz w:val="32"/>
          <w:szCs w:val="32"/>
        </w:rPr>
        <w:t>进入医疗卫生行业不满一年，且未产生本办法第十一条规定失信信息的信用主体，不开展评价。</w:t>
      </w:r>
    </w:p>
    <w:p w14:paraId="5C282369">
      <w:pPr>
        <w:pStyle w:val="11"/>
        <w:spacing w:after="0" w:line="580" w:lineRule="exact"/>
        <w:ind w:firstLine="643"/>
        <w:rPr>
          <w:rFonts w:eastAsia="方正仿宋_GBK"/>
        </w:rPr>
      </w:pPr>
      <w:bookmarkStart w:id="0" w:name="OLE_LINK4"/>
      <w:bookmarkStart w:id="1" w:name="OLE_LINK3"/>
      <w:r>
        <w:rPr>
          <w:rFonts w:eastAsia="方正仿宋_GBK"/>
          <w:b/>
        </w:rPr>
        <w:t>第二十四条</w:t>
      </w:r>
      <w:bookmarkEnd w:id="0"/>
      <w:bookmarkEnd w:id="1"/>
      <w:r>
        <w:rPr>
          <w:rFonts w:eastAsia="方正仿宋_GBK"/>
          <w:b/>
        </w:rPr>
        <w:t xml:space="preserve"> </w:t>
      </w:r>
      <w:r>
        <w:rPr>
          <w:rFonts w:eastAsia="方正仿宋_GBK"/>
        </w:rPr>
        <w:t>基础信息、失信信息、其他信息由信用信息系统从卫生健康行政部门相关业务系统自动归集或者由其他相关部门信息系统共享；增信信息由信用主体主动提交，并经过县级以上卫生健康行政部门审核、查证。</w:t>
      </w:r>
    </w:p>
    <w:p w14:paraId="5F453673">
      <w:pPr>
        <w:autoSpaceDE w:val="0"/>
        <w:autoSpaceDN w:val="0"/>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第二十五条 </w:t>
      </w:r>
      <w:r>
        <w:rPr>
          <w:rFonts w:ascii="Times New Roman" w:hAnsi="Times New Roman" w:eastAsia="方正仿宋_GBK"/>
          <w:bCs/>
          <w:sz w:val="32"/>
          <w:szCs w:val="32"/>
        </w:rPr>
        <w:t>县级以上卫生健康行政部门应当将信用主体信用评价结果作为开展卫生健康随机监督抽查的重要依据，对不同信用等级的检查对象采取差异化分类监管措施。</w:t>
      </w:r>
    </w:p>
    <w:p w14:paraId="3647303C">
      <w:pPr>
        <w:pStyle w:val="11"/>
        <w:spacing w:after="0" w:line="580" w:lineRule="exact"/>
        <w:ind w:firstLine="643"/>
        <w:rPr>
          <w:rFonts w:eastAsia="方正仿宋_GBK"/>
        </w:rPr>
      </w:pPr>
      <w:r>
        <w:rPr>
          <w:rFonts w:eastAsia="方正仿宋_GBK"/>
          <w:b/>
        </w:rPr>
        <w:t xml:space="preserve">第二十六条 </w:t>
      </w:r>
      <w:r>
        <w:rPr>
          <w:rFonts w:eastAsia="方正仿宋_GBK"/>
        </w:rPr>
        <w:t>县级以上卫生健康行政部门在行政许可、建设项目申报、资源配置、评审评价、科研项目申报、考核评估、职称评定、评先评优等工作中，可以参考信用评价结果。</w:t>
      </w:r>
    </w:p>
    <w:p w14:paraId="44CA531F">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第二十七条 </w:t>
      </w:r>
      <w:r>
        <w:rPr>
          <w:rFonts w:ascii="Times New Roman" w:hAnsi="Times New Roman" w:eastAsia="方正仿宋_GBK"/>
          <w:bCs/>
          <w:sz w:val="32"/>
          <w:szCs w:val="32"/>
        </w:rPr>
        <w:t>对于信用评价结果为A级、B级信用主体，县级以上卫生健康行政部门可以制定守信激励措施清单，依据合法、公开、公平原则，在权限范围内给予以下</w:t>
      </w:r>
      <w:r>
        <w:rPr>
          <w:rFonts w:ascii="Times New Roman" w:hAnsi="Times New Roman" w:eastAsia="方正仿宋_GBK"/>
          <w:sz w:val="32"/>
          <w:szCs w:val="32"/>
        </w:rPr>
        <w:t>激励措施：</w:t>
      </w:r>
    </w:p>
    <w:p w14:paraId="4E8D9A24">
      <w:pPr>
        <w:pStyle w:val="11"/>
        <w:spacing w:after="0" w:line="580" w:lineRule="exact"/>
        <w:rPr>
          <w:rFonts w:eastAsia="方正仿宋_GBK"/>
        </w:rPr>
      </w:pPr>
      <w:r>
        <w:rPr>
          <w:rFonts w:eastAsia="方正仿宋_GBK"/>
        </w:rPr>
        <w:t>（一）办理医疗卫生行政许可过程中，</w:t>
      </w:r>
      <w:r>
        <w:rPr>
          <w:rFonts w:hint="eastAsia" w:eastAsia="方正仿宋_GBK"/>
        </w:rPr>
        <w:t>按规定</w:t>
      </w:r>
      <w:r>
        <w:rPr>
          <w:rFonts w:eastAsia="方正仿宋_GBK"/>
        </w:rPr>
        <w:t>享受容缺受理等优惠措施；</w:t>
      </w:r>
    </w:p>
    <w:p w14:paraId="04B88545">
      <w:pPr>
        <w:pStyle w:val="11"/>
        <w:spacing w:after="0" w:line="580" w:lineRule="exact"/>
        <w:rPr>
          <w:rFonts w:eastAsia="方正仿宋_GBK"/>
        </w:rPr>
      </w:pPr>
      <w:r>
        <w:rPr>
          <w:rFonts w:eastAsia="方正仿宋_GBK"/>
        </w:rPr>
        <w:t>（二）适当降低卫生健康随机监督抽查抽取比例；</w:t>
      </w:r>
    </w:p>
    <w:p w14:paraId="19352061">
      <w:pPr>
        <w:pStyle w:val="11"/>
        <w:spacing w:after="0" w:line="580" w:lineRule="exact"/>
        <w:rPr>
          <w:rFonts w:eastAsia="方正仿宋_GBK"/>
        </w:rPr>
      </w:pPr>
      <w:r>
        <w:rPr>
          <w:rFonts w:eastAsia="方正仿宋_GBK"/>
        </w:rPr>
        <w:t>（三）优先推荐医疗卫生评先评优；</w:t>
      </w:r>
    </w:p>
    <w:p w14:paraId="581032A1">
      <w:pPr>
        <w:pStyle w:val="11"/>
        <w:spacing w:after="0" w:line="580" w:lineRule="exact"/>
        <w:rPr>
          <w:rFonts w:eastAsia="方正仿宋_GBK"/>
        </w:rPr>
      </w:pPr>
      <w:r>
        <w:rPr>
          <w:rFonts w:eastAsia="方正仿宋_GBK"/>
        </w:rPr>
        <w:t>（四）优先推荐参与相关科研项目；</w:t>
      </w:r>
    </w:p>
    <w:p w14:paraId="2799D3CD">
      <w:pPr>
        <w:pStyle w:val="11"/>
        <w:spacing w:after="0" w:line="580" w:lineRule="exact"/>
        <w:rPr>
          <w:rFonts w:eastAsia="方正仿宋_GBK"/>
        </w:rPr>
      </w:pPr>
      <w:r>
        <w:rPr>
          <w:rFonts w:eastAsia="方正仿宋_GBK"/>
        </w:rPr>
        <w:t>（五）在财政资金补助等活动中，同等条件下，列为优先选择或重点推荐对象；</w:t>
      </w:r>
    </w:p>
    <w:p w14:paraId="7ECE8081">
      <w:pPr>
        <w:pStyle w:val="11"/>
        <w:spacing w:after="0" w:line="580" w:lineRule="exact"/>
        <w:rPr>
          <w:rFonts w:eastAsia="方正仿宋_GBK"/>
        </w:rPr>
      </w:pPr>
      <w:r>
        <w:rPr>
          <w:rFonts w:eastAsia="方正仿宋_GBK"/>
        </w:rPr>
        <w:t>（六）优先向</w:t>
      </w:r>
      <w:r>
        <w:rPr>
          <w:rFonts w:hint="eastAsia" w:eastAsia="方正仿宋_GBK"/>
        </w:rPr>
        <w:t>医疗卫生</w:t>
      </w:r>
      <w:r>
        <w:rPr>
          <w:rFonts w:eastAsia="方正仿宋_GBK"/>
        </w:rPr>
        <w:t>行业</w:t>
      </w:r>
      <w:r>
        <w:rPr>
          <w:rFonts w:hint="eastAsia" w:eastAsia="方正仿宋_GBK"/>
        </w:rPr>
        <w:t>学会、</w:t>
      </w:r>
      <w:r>
        <w:rPr>
          <w:rFonts w:eastAsia="方正仿宋_GBK"/>
        </w:rPr>
        <w:t>协会等社会组织推荐参与相关事项。</w:t>
      </w:r>
    </w:p>
    <w:p w14:paraId="2A7513C0">
      <w:pPr>
        <w:pStyle w:val="11"/>
        <w:spacing w:after="0" w:line="580" w:lineRule="exact"/>
        <w:rPr>
          <w:rFonts w:eastAsia="方正仿宋_GBK"/>
        </w:rPr>
      </w:pPr>
      <w:r>
        <w:rPr>
          <w:rFonts w:eastAsia="方正仿宋_GBK"/>
        </w:rPr>
        <w:t>（七）其他激励措施。</w:t>
      </w:r>
    </w:p>
    <w:p w14:paraId="0AC5FD3F">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第二十八条 </w:t>
      </w:r>
      <w:r>
        <w:rPr>
          <w:rFonts w:ascii="Times New Roman" w:hAnsi="Times New Roman" w:eastAsia="方正仿宋_GBK"/>
          <w:sz w:val="32"/>
          <w:szCs w:val="32"/>
        </w:rPr>
        <w:t>对于</w:t>
      </w:r>
      <w:r>
        <w:rPr>
          <w:rFonts w:ascii="Times New Roman" w:hAnsi="Times New Roman" w:eastAsia="方正仿宋_GBK"/>
          <w:bCs/>
          <w:sz w:val="32"/>
          <w:szCs w:val="32"/>
        </w:rPr>
        <w:t>信用评价结果为</w:t>
      </w:r>
      <w:r>
        <w:rPr>
          <w:rFonts w:ascii="Times New Roman" w:hAnsi="Times New Roman" w:eastAsia="方正仿宋_GBK"/>
          <w:sz w:val="32"/>
          <w:szCs w:val="32"/>
        </w:rPr>
        <w:t>C级、D级信用主体，</w:t>
      </w:r>
      <w:r>
        <w:rPr>
          <w:rFonts w:ascii="Times New Roman" w:hAnsi="Times New Roman" w:eastAsia="方正仿宋_GBK"/>
          <w:bCs/>
          <w:sz w:val="32"/>
          <w:szCs w:val="32"/>
        </w:rPr>
        <w:t>县级以上卫生健康行政部门</w:t>
      </w:r>
      <w:r>
        <w:rPr>
          <w:rFonts w:ascii="Times New Roman" w:hAnsi="Times New Roman" w:eastAsia="方正仿宋_GBK"/>
          <w:sz w:val="32"/>
          <w:szCs w:val="32"/>
        </w:rPr>
        <w:t>可以基于具体的失信行为事实，以法律、法规、国家有关文件的规定和全国失信惩戒措施基础清单、地方失信惩戒措施补充清单为依据，按照合法、公平、关联、比例原则，根据失信行为的性质、情节和社会危害程度，在权限范围内采取轻重适度的惩戒措施。</w:t>
      </w:r>
    </w:p>
    <w:p w14:paraId="3198F0EB">
      <w:pPr>
        <w:spacing w:line="580" w:lineRule="exact"/>
        <w:outlineLvl w:val="0"/>
        <w:rPr>
          <w:rFonts w:ascii="Times New Roman" w:hAnsi="Times New Roman" w:eastAsia="黑体"/>
          <w:sz w:val="32"/>
          <w:szCs w:val="32"/>
        </w:rPr>
      </w:pPr>
    </w:p>
    <w:p w14:paraId="7FFA2809">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 xml:space="preserve">章 </w:t>
      </w:r>
      <w:r>
        <w:rPr>
          <w:rFonts w:hint="eastAsia" w:ascii="Times New Roman" w:hAnsi="Times New Roman" w:eastAsia="黑体"/>
          <w:sz w:val="32"/>
          <w:szCs w:val="32"/>
        </w:rPr>
        <w:t>公开和共享</w:t>
      </w:r>
    </w:p>
    <w:p w14:paraId="7DBC45E5">
      <w:pPr>
        <w:pStyle w:val="11"/>
        <w:spacing w:after="0" w:line="580" w:lineRule="exact"/>
      </w:pPr>
    </w:p>
    <w:p w14:paraId="6F605ADC">
      <w:pPr>
        <w:autoSpaceDE w:val="0"/>
        <w:autoSpaceDN w:val="0"/>
        <w:spacing w:line="580" w:lineRule="exact"/>
        <w:ind w:firstLine="643" w:firstLineChars="200"/>
        <w:outlineLvl w:val="1"/>
        <w:rPr>
          <w:rFonts w:ascii="Times New Roman" w:hAnsi="Times New Roman" w:eastAsia="方正仿宋_GBK"/>
          <w:b/>
          <w:sz w:val="32"/>
          <w:szCs w:val="32"/>
        </w:rPr>
      </w:pPr>
      <w:r>
        <w:rPr>
          <w:rFonts w:ascii="Times New Roman" w:hAnsi="Times New Roman" w:eastAsia="方正仿宋_GBK"/>
          <w:b/>
          <w:sz w:val="32"/>
          <w:szCs w:val="32"/>
        </w:rPr>
        <w:t xml:space="preserve">第二十九条 </w:t>
      </w:r>
      <w:r>
        <w:rPr>
          <w:rFonts w:ascii="Times New Roman" w:hAnsi="Times New Roman" w:eastAsia="方正仿宋_GBK"/>
          <w:sz w:val="32"/>
          <w:szCs w:val="32"/>
        </w:rPr>
        <w:t>信用信息公示是指</w:t>
      </w:r>
      <w:r>
        <w:rPr>
          <w:rFonts w:ascii="Times New Roman" w:hAnsi="Times New Roman" w:eastAsia="方正仿宋_GBK"/>
          <w:bCs/>
          <w:sz w:val="32"/>
          <w:szCs w:val="32"/>
        </w:rPr>
        <w:t>县级以上</w:t>
      </w:r>
      <w:r>
        <w:rPr>
          <w:rFonts w:ascii="Times New Roman" w:hAnsi="Times New Roman" w:eastAsia="方正仿宋_GBK"/>
          <w:sz w:val="32"/>
          <w:szCs w:val="32"/>
        </w:rPr>
        <w:t>卫生健康行政部门依据信息公</w:t>
      </w:r>
      <w:r>
        <w:rPr>
          <w:rFonts w:ascii="Times New Roman" w:hAnsi="Times New Roman" w:eastAsia="方正仿宋_GBK"/>
          <w:bCs/>
          <w:sz w:val="32"/>
          <w:szCs w:val="32"/>
        </w:rPr>
        <w:t>开范围，通过“信用中国”网站等渠道，及时公开、发布</w:t>
      </w:r>
      <w:r>
        <w:rPr>
          <w:rFonts w:ascii="Times New Roman" w:hAnsi="Times New Roman" w:eastAsia="方正仿宋_GBK"/>
          <w:sz w:val="32"/>
          <w:szCs w:val="32"/>
        </w:rPr>
        <w:t>医疗卫生</w:t>
      </w:r>
      <w:r>
        <w:rPr>
          <w:rFonts w:ascii="Times New Roman" w:hAnsi="Times New Roman" w:eastAsia="方正仿宋_GBK"/>
          <w:bCs/>
          <w:sz w:val="32"/>
          <w:szCs w:val="32"/>
        </w:rPr>
        <w:t>信用信息。相关涉企信息依法通过国家企业信用信息公示系统公示。</w:t>
      </w:r>
    </w:p>
    <w:p w14:paraId="40FE66DC">
      <w:pPr>
        <w:pStyle w:val="11"/>
        <w:spacing w:after="0" w:line="580" w:lineRule="exact"/>
        <w:ind w:firstLine="643"/>
        <w:rPr>
          <w:rFonts w:eastAsia="方正仿宋_GBK"/>
          <w:color w:val="000000" w:themeColor="text1"/>
          <w:lang w:bidi="ar"/>
          <w14:textFill>
            <w14:solidFill>
              <w14:schemeClr w14:val="tx1"/>
            </w14:solidFill>
          </w14:textFill>
        </w:rPr>
      </w:pPr>
      <w:r>
        <w:rPr>
          <w:rFonts w:eastAsia="方正仿宋_GBK"/>
          <w:b/>
        </w:rPr>
        <w:t xml:space="preserve">第三十条 </w:t>
      </w:r>
      <w:r>
        <w:rPr>
          <w:rFonts w:eastAsia="方正仿宋_GBK"/>
          <w:color w:val="000000" w:themeColor="text1"/>
          <w:lang w:bidi="ar"/>
          <w14:textFill>
            <w14:solidFill>
              <w14:schemeClr w14:val="tx1"/>
            </w14:solidFill>
          </w14:textFill>
        </w:rPr>
        <w:t>信用信息公示范围、期限、方式，按照国家有关要求执行，最短公示期届满后，方可按规定申请提前终止公示。最长公示期届满后，相关信息自动停止公示。</w:t>
      </w:r>
    </w:p>
    <w:p w14:paraId="48D5665E">
      <w:pPr>
        <w:pStyle w:val="11"/>
        <w:spacing w:after="0" w:line="580" w:lineRule="exact"/>
        <w:rPr>
          <w:rFonts w:eastAsia="方正仿宋_GBK"/>
          <w:b/>
        </w:rPr>
      </w:pPr>
      <w:r>
        <w:rPr>
          <w:rFonts w:eastAsia="方正仿宋_GBK"/>
          <w:color w:val="000000" w:themeColor="text1"/>
          <w:lang w:bidi="ar"/>
          <w14:textFill>
            <w14:solidFill>
              <w14:schemeClr w14:val="tx1"/>
            </w14:solidFill>
          </w14:textFill>
        </w:rPr>
        <w:t>国家暂未出台相关要求的失信信息，如需公示，应当同步制定公示范围、期限、方式、修复条件和流程，保障信用主体权益。</w:t>
      </w:r>
    </w:p>
    <w:p w14:paraId="1F15C5B4">
      <w:pPr>
        <w:pStyle w:val="11"/>
        <w:spacing w:after="0" w:line="580" w:lineRule="exact"/>
        <w:ind w:firstLine="643"/>
        <w:rPr>
          <w:rFonts w:eastAsia="方正仿宋_GBK"/>
        </w:rPr>
      </w:pPr>
      <w:r>
        <w:rPr>
          <w:rFonts w:eastAsia="方正仿宋_GBK"/>
          <w:b/>
        </w:rPr>
        <w:t xml:space="preserve">第三十一条 </w:t>
      </w:r>
      <w:r>
        <w:rPr>
          <w:rFonts w:eastAsia="方正仿宋_GBK"/>
        </w:rPr>
        <w:t>信用评价产生的信用等级作为政府部门及相关机构内部监管和风险防范参考，评价结果依法公开。</w:t>
      </w:r>
    </w:p>
    <w:p w14:paraId="68D6E5B6">
      <w:pPr>
        <w:pStyle w:val="11"/>
        <w:spacing w:after="0" w:line="580" w:lineRule="exact"/>
        <w:ind w:firstLine="643"/>
        <w:rPr>
          <w:rFonts w:eastAsia="方正仿宋_GBK"/>
        </w:rPr>
      </w:pPr>
      <w:r>
        <w:rPr>
          <w:rFonts w:eastAsia="方正仿宋_GBK"/>
          <w:b/>
        </w:rPr>
        <w:t xml:space="preserve">第三十二条 </w:t>
      </w:r>
      <w:r>
        <w:rPr>
          <w:rFonts w:eastAsia="方正仿宋_GBK"/>
          <w:bCs w:val="0"/>
        </w:rPr>
        <w:t>医疗卫生信用信息、</w:t>
      </w:r>
      <w:r>
        <w:rPr>
          <w:rFonts w:eastAsia="方正仿宋_GBK"/>
        </w:rPr>
        <w:t>医疗卫生信用评价结果依法依规共享给公共信用信息共享平台、政务数据主管部门和其他相关职能部门协同应用。</w:t>
      </w:r>
    </w:p>
    <w:p w14:paraId="2EF7A90D">
      <w:pPr>
        <w:pStyle w:val="11"/>
        <w:spacing w:after="0" w:line="580" w:lineRule="exact"/>
        <w:ind w:firstLine="643"/>
        <w:rPr>
          <w:rFonts w:eastAsia="方正仿宋_GBK"/>
        </w:rPr>
      </w:pPr>
      <w:r>
        <w:rPr>
          <w:rFonts w:eastAsia="方正仿宋_GBK"/>
          <w:b/>
        </w:rPr>
        <w:t xml:space="preserve">第三十三条 </w:t>
      </w:r>
      <w:r>
        <w:rPr>
          <w:rFonts w:eastAsia="方正仿宋_GBK"/>
          <w:kern w:val="0"/>
        </w:rPr>
        <w:t>经实名认证的</w:t>
      </w:r>
      <w:r>
        <w:rPr>
          <w:rFonts w:eastAsia="方正仿宋_GBK"/>
        </w:rPr>
        <w:t>信用主体</w:t>
      </w:r>
      <w:r>
        <w:rPr>
          <w:rFonts w:eastAsia="方正仿宋_GBK"/>
          <w:kern w:val="0"/>
        </w:rPr>
        <w:t>或者经</w:t>
      </w:r>
      <w:r>
        <w:rPr>
          <w:rFonts w:eastAsia="方正仿宋_GBK"/>
        </w:rPr>
        <w:t>信用主体</w:t>
      </w:r>
      <w:r>
        <w:rPr>
          <w:rFonts w:eastAsia="方正仿宋_GBK"/>
          <w:kern w:val="0"/>
        </w:rPr>
        <w:t>书</w:t>
      </w:r>
      <w:r>
        <w:rPr>
          <w:rFonts w:eastAsia="方正仿宋_GBK"/>
        </w:rPr>
        <w:t>面授权的第三人，可以通过信用信息系统等渠道查询自身的医疗卫生信用信息、医疗卫生信用评价结果。</w:t>
      </w:r>
    </w:p>
    <w:p w14:paraId="4FA0A515">
      <w:pPr>
        <w:pStyle w:val="11"/>
        <w:spacing w:after="0" w:line="580" w:lineRule="exact"/>
        <w:ind w:firstLine="643"/>
        <w:rPr>
          <w:rFonts w:eastAsia="方正仿宋_GBK"/>
        </w:rPr>
      </w:pPr>
      <w:r>
        <w:rPr>
          <w:rFonts w:eastAsia="方正仿宋_GBK"/>
          <w:b/>
        </w:rPr>
        <w:t xml:space="preserve">第三十四条 </w:t>
      </w:r>
      <w:r>
        <w:rPr>
          <w:rFonts w:eastAsia="方正仿宋_GBK"/>
        </w:rPr>
        <w:t>通过共享、查询等方式获取的医疗卫生信用信息，不得超范围使用，不得用于或者变相用于其他目的，不得擅自提供给第三方。</w:t>
      </w:r>
    </w:p>
    <w:p w14:paraId="2A18FF95">
      <w:pPr>
        <w:pStyle w:val="11"/>
        <w:spacing w:after="0" w:line="580" w:lineRule="exact"/>
        <w:ind w:firstLine="643"/>
        <w:rPr>
          <w:rFonts w:eastAsia="方正仿宋_GBK"/>
          <w:color w:val="000000" w:themeColor="text1"/>
          <w:lang w:bidi="ar"/>
          <w14:textFill>
            <w14:solidFill>
              <w14:schemeClr w14:val="tx1"/>
            </w14:solidFill>
          </w14:textFill>
        </w:rPr>
      </w:pPr>
      <w:r>
        <w:rPr>
          <w:rFonts w:eastAsia="方正仿宋_GBK"/>
          <w:b/>
        </w:rPr>
        <w:t xml:space="preserve">第三十五条 </w:t>
      </w:r>
      <w:r>
        <w:rPr>
          <w:rFonts w:eastAsia="方正仿宋_GBK"/>
        </w:rPr>
        <w:t>鼓励卫生健康行业</w:t>
      </w:r>
      <w:r>
        <w:rPr>
          <w:rFonts w:eastAsia="方正仿宋_GBK"/>
          <w:snapToGrid w:val="0"/>
        </w:rPr>
        <w:t>市场主体、社会组织</w:t>
      </w:r>
      <w:r>
        <w:rPr>
          <w:rFonts w:eastAsia="方正仿宋_GBK"/>
        </w:rPr>
        <w:t>等使用医疗卫生信用信息、医疗卫生信用评价结果，并根据信用主体的信用状况采取相应措施。</w:t>
      </w:r>
    </w:p>
    <w:p w14:paraId="33590D5C">
      <w:pPr>
        <w:spacing w:line="580" w:lineRule="exact"/>
        <w:outlineLvl w:val="0"/>
        <w:rPr>
          <w:rFonts w:ascii="Times New Roman" w:hAnsi="Times New Roman" w:eastAsia="黑体"/>
          <w:sz w:val="32"/>
          <w:szCs w:val="32"/>
        </w:rPr>
      </w:pPr>
    </w:p>
    <w:p w14:paraId="1F6B746F">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 xml:space="preserve">章 </w:t>
      </w:r>
      <w:r>
        <w:rPr>
          <w:rFonts w:hint="eastAsia" w:ascii="Times New Roman" w:hAnsi="Times New Roman" w:eastAsia="黑体"/>
          <w:sz w:val="32"/>
          <w:szCs w:val="32"/>
        </w:rPr>
        <w:t>异议申请和信用修复</w:t>
      </w:r>
    </w:p>
    <w:p w14:paraId="279AF510">
      <w:pPr>
        <w:pStyle w:val="11"/>
        <w:spacing w:after="0" w:line="580" w:lineRule="exact"/>
        <w:rPr>
          <w:rFonts w:eastAsia="黑体"/>
        </w:rPr>
      </w:pPr>
    </w:p>
    <w:p w14:paraId="3B7FA611">
      <w:pPr>
        <w:autoSpaceDE w:val="0"/>
        <w:spacing w:line="580" w:lineRule="exact"/>
        <w:ind w:firstLine="643" w:firstLineChars="200"/>
        <w:outlineLvl w:val="1"/>
        <w:rPr>
          <w:rFonts w:ascii="Times New Roman" w:hAnsi="Times New Roman" w:eastAsia="方正仿宋_GBK"/>
          <w:sz w:val="32"/>
          <w:szCs w:val="32"/>
          <w:lang w:bidi="ar"/>
        </w:rPr>
      </w:pPr>
      <w:r>
        <w:rPr>
          <w:rFonts w:ascii="Times New Roman" w:hAnsi="Times New Roman" w:eastAsia="方正仿宋_GBK"/>
          <w:b/>
          <w:sz w:val="32"/>
          <w:szCs w:val="32"/>
        </w:rPr>
        <w:t xml:space="preserve">第三十六条 </w:t>
      </w:r>
      <w:r>
        <w:rPr>
          <w:rFonts w:ascii="Times New Roman" w:hAnsi="Times New Roman" w:eastAsia="方正仿宋_GBK"/>
          <w:sz w:val="32"/>
          <w:szCs w:val="32"/>
        </w:rPr>
        <w:t>信用主体对医疗卫生信用信息公示内容、公示期限、信用修复结果及信用等级存在异议的，可以提起异议申请。</w:t>
      </w:r>
    </w:p>
    <w:p w14:paraId="21F264BA">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对信用等级有异议的，可以向信用评价单位</w:t>
      </w:r>
      <w:r>
        <w:rPr>
          <w:rFonts w:ascii="Times New Roman" w:hAnsi="Times New Roman" w:eastAsia="方正仿宋_GBK"/>
          <w:bCs/>
          <w:sz w:val="32"/>
          <w:szCs w:val="32"/>
        </w:rPr>
        <w:t>提出异议申请</w:t>
      </w:r>
      <w:r>
        <w:rPr>
          <w:rFonts w:ascii="Times New Roman" w:hAnsi="Times New Roman" w:eastAsia="方正仿宋_GBK"/>
          <w:sz w:val="32"/>
          <w:szCs w:val="32"/>
        </w:rPr>
        <w:t>，确定信用</w:t>
      </w:r>
      <w:r>
        <w:rPr>
          <w:rFonts w:ascii="Times New Roman" w:hAnsi="Times New Roman" w:eastAsia="方正仿宋_GBK"/>
          <w:sz w:val="32"/>
          <w:szCs w:val="32"/>
          <w:lang w:bidi="ar"/>
        </w:rPr>
        <w:t>等级与真实情况不符</w:t>
      </w:r>
      <w:r>
        <w:rPr>
          <w:rFonts w:ascii="Times New Roman" w:hAnsi="Times New Roman" w:eastAsia="方正仿宋_GBK"/>
          <w:sz w:val="32"/>
          <w:szCs w:val="32"/>
        </w:rPr>
        <w:t>的</w:t>
      </w:r>
      <w:r>
        <w:rPr>
          <w:rFonts w:ascii="Times New Roman" w:hAnsi="Times New Roman" w:eastAsia="方正仿宋_GBK"/>
          <w:sz w:val="32"/>
          <w:szCs w:val="32"/>
          <w:lang w:bidi="ar"/>
        </w:rPr>
        <w:t>，信用评价单位应当进行更正</w:t>
      </w:r>
      <w:r>
        <w:rPr>
          <w:rFonts w:ascii="Times New Roman" w:hAnsi="Times New Roman" w:eastAsia="方正仿宋_GBK"/>
          <w:sz w:val="32"/>
          <w:szCs w:val="32"/>
        </w:rPr>
        <w:t>。</w:t>
      </w:r>
    </w:p>
    <w:p w14:paraId="74BB0C9F">
      <w:pPr>
        <w:tabs>
          <w:tab w:val="left" w:pos="5250"/>
        </w:tabs>
        <w:autoSpaceDE w:val="0"/>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对信用等级以外的</w:t>
      </w:r>
      <w:r>
        <w:rPr>
          <w:rFonts w:ascii="Times New Roman" w:hAnsi="Times New Roman" w:eastAsia="方正仿宋_GBK"/>
          <w:sz w:val="32"/>
          <w:szCs w:val="32"/>
        </w:rPr>
        <w:t>信用信息有异议的，</w:t>
      </w:r>
      <w:r>
        <w:rPr>
          <w:rFonts w:ascii="Times New Roman" w:hAnsi="Times New Roman" w:eastAsia="方正仿宋_GBK"/>
          <w:bCs/>
          <w:sz w:val="32"/>
          <w:szCs w:val="32"/>
        </w:rPr>
        <w:t>应当</w:t>
      </w:r>
      <w:r>
        <w:rPr>
          <w:rFonts w:ascii="Times New Roman" w:hAnsi="Times New Roman" w:eastAsia="方正仿宋_GBK"/>
          <w:sz w:val="32"/>
          <w:szCs w:val="32"/>
        </w:rPr>
        <w:t>按照</w:t>
      </w:r>
      <w:r>
        <w:rPr>
          <w:rFonts w:ascii="Times New Roman" w:hAnsi="Times New Roman" w:eastAsia="方正仿宋_GBK"/>
          <w:bCs/>
          <w:sz w:val="32"/>
          <w:szCs w:val="32"/>
        </w:rPr>
        <w:t>有关流程向“信用中国”网站、县级以上卫生健康行政部门提出异议申请，异议处理结果应当及时向“信用中国”网站及申请人反馈。</w:t>
      </w:r>
    </w:p>
    <w:p w14:paraId="02963F0D">
      <w:pPr>
        <w:pStyle w:val="11"/>
        <w:spacing w:after="0" w:line="580" w:lineRule="exact"/>
        <w:ind w:firstLine="643"/>
        <w:rPr>
          <w:rFonts w:eastAsia="方正仿宋_GBK"/>
        </w:rPr>
      </w:pPr>
      <w:r>
        <w:rPr>
          <w:rFonts w:eastAsia="方正仿宋_GBK"/>
          <w:b/>
        </w:rPr>
        <w:t xml:space="preserve">第三十七条 </w:t>
      </w:r>
      <w:r>
        <w:rPr>
          <w:rFonts w:eastAsia="方正仿宋_GBK"/>
        </w:rPr>
        <w:t>信用主体依法享有信用修复的权利，信用主体在满足信用修复条件后，可以根据相关流程通过“信用中国”网站申请信用修复，卫生健康行政部门应当及时处理修复申请，并向“信用中国”网站提供处理结果。县级以上卫生健康行政部门在其他渠道公示的失信信息，应当与“信用中国”网站保持同步。</w:t>
      </w:r>
    </w:p>
    <w:p w14:paraId="679CAFE5">
      <w:pPr>
        <w:pStyle w:val="11"/>
        <w:spacing w:after="0" w:line="580" w:lineRule="exact"/>
        <w:rPr>
          <w:rFonts w:eastAsia="方正仿宋_GBK"/>
        </w:rPr>
      </w:pPr>
      <w:r>
        <w:rPr>
          <w:rFonts w:eastAsia="方正仿宋_GBK"/>
        </w:rPr>
        <w:t>省级卫生健康行政部门依据职责制定全省医疗卫生信用修复规定，建立有利于信用主体自我纠错、主动自新的信用修复工作机制。</w:t>
      </w:r>
    </w:p>
    <w:p w14:paraId="1E323207">
      <w:pPr>
        <w:pStyle w:val="11"/>
        <w:spacing w:after="0" w:line="580" w:lineRule="exact"/>
        <w:rPr>
          <w:rFonts w:eastAsia="方正仿宋_GBK"/>
        </w:rPr>
      </w:pPr>
      <w:r>
        <w:rPr>
          <w:rFonts w:eastAsia="方正仿宋_GBK"/>
        </w:rPr>
        <w:t>县级以上卫生健康行政部门应当做好政策阐释和解读，按照“谁认定、谁修复”的原则开展信用修复工作，不得以任何形式向申请信用修复的信用主体收取费用。</w:t>
      </w:r>
    </w:p>
    <w:p w14:paraId="3B65DB79">
      <w:pPr>
        <w:pStyle w:val="11"/>
        <w:spacing w:after="0" w:line="580" w:lineRule="exact"/>
        <w:ind w:firstLine="643"/>
        <w:rPr>
          <w:rFonts w:eastAsia="方正仿宋_GBK"/>
        </w:rPr>
      </w:pPr>
      <w:r>
        <w:rPr>
          <w:rFonts w:eastAsia="方正仿宋_GBK"/>
          <w:b/>
        </w:rPr>
        <w:t xml:space="preserve">第三十八条 </w:t>
      </w:r>
      <w:r>
        <w:rPr>
          <w:rFonts w:eastAsia="方正仿宋_GBK"/>
          <w:color w:val="000000" w:themeColor="text1"/>
          <w14:textFill>
            <w14:solidFill>
              <w14:schemeClr w14:val="tx1"/>
            </w14:solidFill>
          </w14:textFill>
        </w:rPr>
        <w:t>信用修复完成后，信用评价单位应当根据失信信息的公示情况，及时</w:t>
      </w:r>
      <w:r>
        <w:rPr>
          <w:rFonts w:eastAsia="方正仿宋_GBK"/>
        </w:rPr>
        <w:t>更新信用评价结果。</w:t>
      </w:r>
    </w:p>
    <w:p w14:paraId="068F8BDC">
      <w:pPr>
        <w:spacing w:line="580" w:lineRule="exact"/>
        <w:ind w:firstLine="640" w:firstLineChars="200"/>
        <w:jc w:val="center"/>
        <w:outlineLvl w:val="0"/>
        <w:rPr>
          <w:rFonts w:ascii="Times New Roman" w:hAnsi="Times New Roman" w:eastAsia="黑体"/>
          <w:sz w:val="32"/>
          <w:szCs w:val="32"/>
        </w:rPr>
      </w:pPr>
    </w:p>
    <w:p w14:paraId="18B1670D">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章 监督管理</w:t>
      </w:r>
    </w:p>
    <w:p w14:paraId="647878BA">
      <w:pPr>
        <w:pStyle w:val="11"/>
        <w:spacing w:after="0" w:line="580" w:lineRule="exact"/>
        <w:rPr>
          <w:rFonts w:eastAsia="方正仿宋_GBK"/>
        </w:rPr>
      </w:pPr>
    </w:p>
    <w:p w14:paraId="236D9CD1">
      <w:pPr>
        <w:autoSpaceDE w:val="0"/>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第三十</w:t>
      </w:r>
      <w:r>
        <w:rPr>
          <w:rFonts w:hint="eastAsia" w:ascii="Times New Roman" w:hAnsi="Times New Roman" w:eastAsia="方正仿宋_GBK"/>
          <w:b/>
          <w:sz w:val="32"/>
          <w:szCs w:val="32"/>
        </w:rPr>
        <w:t>九</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县级以上卫生健康行政部门应当配合社会信用综合管理部门加强医疗卫生信用信息管理工作的监督管理，建立完善信用信息归集和使用协调沟通机制。</w:t>
      </w:r>
    </w:p>
    <w:p w14:paraId="54FA3CD3">
      <w:pPr>
        <w:pStyle w:val="7"/>
        <w:widowControl/>
        <w:spacing w:beforeAutospacing="0" w:afterAutospacing="0" w:line="580" w:lineRule="exact"/>
        <w:ind w:firstLine="643" w:firstLineChars="200"/>
        <w:jc w:val="both"/>
        <w:rPr>
          <w:rFonts w:ascii="Times New Roman" w:hAnsi="Times New Roman"/>
          <w:sz w:val="32"/>
          <w:szCs w:val="32"/>
        </w:rPr>
      </w:pPr>
      <w:r>
        <w:rPr>
          <w:rFonts w:ascii="Times New Roman" w:hAnsi="Times New Roman" w:eastAsia="方正仿宋_GBK"/>
          <w:b/>
          <w:sz w:val="32"/>
          <w:szCs w:val="32"/>
        </w:rPr>
        <w:t>第</w:t>
      </w:r>
      <w:r>
        <w:rPr>
          <w:rFonts w:hint="eastAsia" w:ascii="Times New Roman" w:hAnsi="Times New Roman" w:eastAsia="方正仿宋_GBK"/>
          <w:b/>
          <w:sz w:val="32"/>
          <w:szCs w:val="32"/>
        </w:rPr>
        <w:t>四十</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县级以上</w:t>
      </w:r>
      <w:r>
        <w:rPr>
          <w:rFonts w:ascii="Times New Roman" w:hAnsi="Times New Roman" w:eastAsia="方正仿宋_GBK"/>
          <w:sz w:val="32"/>
          <w:szCs w:val="32"/>
        </w:rPr>
        <w:t>卫生健康行政部门应当建立健全医疗卫生信用信息安全管理制度，采取有效的安全保密措施，保障医疗卫生信用信息安全</w:t>
      </w:r>
      <w:r>
        <w:rPr>
          <w:rFonts w:hint="eastAsia" w:ascii="Times New Roman" w:hAnsi="Times New Roman" w:eastAsia="方正仿宋_GBK"/>
          <w:kern w:val="2"/>
          <w:sz w:val="32"/>
          <w:szCs w:val="32"/>
        </w:rPr>
        <w:t>。</w:t>
      </w:r>
    </w:p>
    <w:p w14:paraId="18495092">
      <w:pPr>
        <w:pStyle w:val="7"/>
        <w:widowControl/>
        <w:spacing w:beforeAutospacing="0" w:afterAutospacing="0" w:line="580" w:lineRule="exact"/>
        <w:ind w:firstLine="643" w:firstLineChars="200"/>
        <w:jc w:val="both"/>
        <w:rPr>
          <w:rFonts w:ascii="Times New Roman" w:hAnsi="Times New Roman" w:eastAsia="方正仿宋_GBK"/>
          <w:kern w:val="2"/>
          <w:sz w:val="32"/>
          <w:szCs w:val="32"/>
        </w:rPr>
      </w:pPr>
      <w:r>
        <w:rPr>
          <w:rFonts w:ascii="Times New Roman" w:hAnsi="Times New Roman" w:eastAsia="方正仿宋_GBK"/>
          <w:b/>
          <w:sz w:val="32"/>
          <w:szCs w:val="32"/>
        </w:rPr>
        <w:t>第</w:t>
      </w:r>
      <w:r>
        <w:rPr>
          <w:rFonts w:hint="eastAsia" w:ascii="Times New Roman" w:hAnsi="Times New Roman" w:eastAsia="方正仿宋_GBK"/>
          <w:b/>
          <w:sz w:val="32"/>
          <w:szCs w:val="32"/>
        </w:rPr>
        <w:t>四十一</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kern w:val="2"/>
          <w:sz w:val="32"/>
          <w:szCs w:val="32"/>
        </w:rPr>
        <w:t>对违反本办法规定或</w:t>
      </w:r>
      <w:r>
        <w:rPr>
          <w:rFonts w:hint="eastAsia" w:ascii="Times New Roman" w:hAnsi="Times New Roman" w:eastAsia="方正仿宋_GBK"/>
          <w:bCs/>
          <w:sz w:val="32"/>
          <w:szCs w:val="32"/>
        </w:rPr>
        <w:t>者</w:t>
      </w:r>
      <w:r>
        <w:rPr>
          <w:rFonts w:hint="eastAsia" w:ascii="Times New Roman" w:hAnsi="Times New Roman" w:eastAsia="方正仿宋_GBK"/>
          <w:kern w:val="2"/>
          <w:sz w:val="32"/>
          <w:szCs w:val="32"/>
        </w:rPr>
        <w:t>在监督管理中发现不合规行为的，卫生健康行政部门依职权及时处置。</w:t>
      </w:r>
    </w:p>
    <w:p w14:paraId="64DD7262">
      <w:pPr>
        <w:pStyle w:val="7"/>
        <w:widowControl/>
        <w:spacing w:beforeAutospacing="0" w:afterAutospacing="0" w:line="580" w:lineRule="exact"/>
        <w:ind w:firstLine="640" w:firstLineChars="200"/>
        <w:jc w:val="both"/>
        <w:rPr>
          <w:rFonts w:ascii="Times New Roman" w:hAnsi="Times New Roman" w:eastAsia="仿宋_GB2312"/>
          <w:bCs/>
          <w:sz w:val="32"/>
          <w:szCs w:val="32"/>
        </w:rPr>
      </w:pPr>
    </w:p>
    <w:p w14:paraId="70501310">
      <w:pPr>
        <w:spacing w:line="580" w:lineRule="exact"/>
        <w:jc w:val="center"/>
        <w:outlineLvl w:val="0"/>
        <w:rPr>
          <w:rFonts w:ascii="Times New Roman" w:hAnsi="Times New Roman" w:eastAsia="黑体"/>
          <w:sz w:val="32"/>
          <w:szCs w:val="32"/>
        </w:rPr>
      </w:pPr>
      <w:r>
        <w:rPr>
          <w:rFonts w:hint="eastAsia" w:ascii="Times New Roman" w:hAnsi="Times New Roman" w:eastAsia="黑体"/>
          <w:sz w:val="32"/>
          <w:szCs w:val="32"/>
        </w:rPr>
        <w:t xml:space="preserve">第七章 </w:t>
      </w:r>
      <w:r>
        <w:rPr>
          <w:rFonts w:ascii="Times New Roman" w:hAnsi="Times New Roman" w:eastAsia="黑体"/>
          <w:sz w:val="32"/>
          <w:szCs w:val="32"/>
        </w:rPr>
        <w:t>附则</w:t>
      </w:r>
    </w:p>
    <w:p w14:paraId="6E61F3C2">
      <w:pPr>
        <w:pStyle w:val="11"/>
        <w:spacing w:after="0" w:line="580" w:lineRule="exact"/>
      </w:pPr>
    </w:p>
    <w:p w14:paraId="414FE0C1">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第四十二条 </w:t>
      </w:r>
      <w:r>
        <w:rPr>
          <w:rFonts w:hint="eastAsia" w:ascii="Times New Roman" w:hAnsi="Times New Roman" w:eastAsia="方正仿宋_GBK"/>
          <w:sz w:val="32"/>
          <w:szCs w:val="32"/>
        </w:rPr>
        <w:t>全省医疗卫生行业学会、协会等社会组织</w:t>
      </w:r>
      <w:r>
        <w:rPr>
          <w:rFonts w:ascii="Times New Roman" w:hAnsi="Times New Roman" w:eastAsia="方正仿宋_GBK"/>
          <w:sz w:val="32"/>
          <w:szCs w:val="32"/>
        </w:rPr>
        <w:t>产生或者获取的医疗卫生信用信息管理，可以参照本办法执行。</w:t>
      </w:r>
    </w:p>
    <w:p w14:paraId="3BDC30AD">
      <w:pPr>
        <w:spacing w:line="580" w:lineRule="exact"/>
        <w:ind w:firstLine="643" w:firstLineChars="200"/>
        <w:outlineLvl w:val="1"/>
        <w:rPr>
          <w:rFonts w:ascii="Times New Roman" w:hAnsi="Times New Roman" w:eastAsia="方正仿宋_GBK"/>
          <w:b/>
          <w:sz w:val="32"/>
          <w:szCs w:val="32"/>
        </w:rPr>
      </w:pPr>
      <w:r>
        <w:rPr>
          <w:rFonts w:ascii="Times New Roman" w:hAnsi="Times New Roman" w:eastAsia="方正仿宋_GBK"/>
          <w:b/>
          <w:sz w:val="32"/>
          <w:szCs w:val="32"/>
        </w:rPr>
        <w:t xml:space="preserve">第四十三条 </w:t>
      </w:r>
      <w:r>
        <w:rPr>
          <w:rFonts w:ascii="Times New Roman" w:hAnsi="Times New Roman" w:eastAsia="方正仿宋_GBK"/>
          <w:sz w:val="32"/>
          <w:szCs w:val="32"/>
        </w:rPr>
        <w:t>本办法由江苏省疾病预防控制局会同江苏省卫生健康委员会解释</w:t>
      </w:r>
      <w:r>
        <w:rPr>
          <w:rFonts w:ascii="Times New Roman" w:hAnsi="Times New Roman" w:eastAsia="方正仿宋_GBK"/>
          <w:b/>
          <w:sz w:val="32"/>
          <w:szCs w:val="32"/>
        </w:rPr>
        <w:t>。</w:t>
      </w:r>
    </w:p>
    <w:p w14:paraId="51C0AEBD">
      <w:pPr>
        <w:spacing w:line="580" w:lineRule="exact"/>
        <w:ind w:firstLine="643"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第四十四条 </w:t>
      </w:r>
      <w:r>
        <w:rPr>
          <w:rFonts w:ascii="Times New Roman" w:hAnsi="Times New Roman" w:eastAsia="方正仿宋_GBK"/>
          <w:sz w:val="32"/>
          <w:szCs w:val="32"/>
        </w:rPr>
        <w:t>本办法自2026年2月1日起施行，有效期至 2031年1月31日。本办法施行后，原《江苏省医疗卫生信用信息管理暂行办法》（苏卫规（监督）﹝2018﹞7号）同时废止。</w:t>
      </w:r>
    </w:p>
    <w:p w14:paraId="0D9BB430">
      <w:pPr>
        <w:spacing w:line="580" w:lineRule="exact"/>
        <w:ind w:firstLine="640" w:firstLineChars="200"/>
        <w:outlineLvl w:val="1"/>
        <w:rPr>
          <w:rFonts w:ascii="Times New Roman" w:hAnsi="Times New Roman" w:eastAsia="方正仿宋_GBK"/>
          <w:sz w:val="32"/>
          <w:szCs w:val="32"/>
        </w:rPr>
      </w:pPr>
    </w:p>
    <w:p w14:paraId="546D90EA">
      <w:pPr>
        <w:spacing w:line="580" w:lineRule="exact"/>
        <w:ind w:firstLine="640" w:firstLineChars="200"/>
        <w:outlineLvl w:val="1"/>
        <w:rPr>
          <w:rFonts w:ascii="Times New Roman" w:hAnsi="Times New Roman" w:eastAsia="方正仿宋_GBK"/>
          <w:sz w:val="32"/>
          <w:szCs w:val="32"/>
        </w:rPr>
      </w:pPr>
    </w:p>
    <w:p w14:paraId="3A733D58">
      <w:pPr>
        <w:spacing w:line="580" w:lineRule="exact"/>
        <w:ind w:firstLine="640" w:firstLineChars="200"/>
        <w:outlineLvl w:val="1"/>
        <w:rPr>
          <w:rFonts w:ascii="Times New Roman" w:hAnsi="Times New Roman" w:eastAsia="方正仿宋_GBK"/>
          <w:sz w:val="32"/>
          <w:szCs w:val="32"/>
        </w:rPr>
      </w:pPr>
    </w:p>
    <w:p w14:paraId="63CD6796">
      <w:pPr>
        <w:spacing w:line="580" w:lineRule="exact"/>
        <w:ind w:firstLine="640" w:firstLineChars="200"/>
        <w:outlineLvl w:val="1"/>
        <w:rPr>
          <w:rFonts w:ascii="Times New Roman" w:hAnsi="Times New Roman" w:eastAsia="方正仿宋_GBK"/>
          <w:sz w:val="32"/>
          <w:szCs w:val="32"/>
        </w:rPr>
      </w:pPr>
    </w:p>
    <w:p w14:paraId="1191D4E3">
      <w:pPr>
        <w:spacing w:line="580" w:lineRule="exact"/>
        <w:ind w:firstLine="640" w:firstLineChars="200"/>
        <w:outlineLvl w:val="1"/>
        <w:rPr>
          <w:rFonts w:ascii="Times New Roman" w:hAnsi="Times New Roman" w:eastAsia="方正仿宋_GBK"/>
          <w:sz w:val="32"/>
          <w:szCs w:val="32"/>
        </w:rPr>
      </w:pPr>
    </w:p>
    <w:p w14:paraId="272D275B">
      <w:pPr>
        <w:spacing w:line="580" w:lineRule="exact"/>
        <w:ind w:firstLine="640" w:firstLineChars="200"/>
        <w:outlineLvl w:val="1"/>
        <w:rPr>
          <w:rFonts w:ascii="Times New Roman" w:hAnsi="Times New Roman" w:eastAsia="方正仿宋_GBK"/>
          <w:sz w:val="32"/>
          <w:szCs w:val="32"/>
        </w:rPr>
      </w:pPr>
    </w:p>
    <w:p w14:paraId="32F4FB76">
      <w:pPr>
        <w:spacing w:line="580" w:lineRule="exact"/>
        <w:ind w:firstLine="640" w:firstLineChars="200"/>
        <w:outlineLvl w:val="1"/>
        <w:rPr>
          <w:rFonts w:ascii="Times New Roman" w:hAnsi="Times New Roman" w:eastAsia="方正仿宋_GBK"/>
          <w:sz w:val="32"/>
          <w:szCs w:val="32"/>
        </w:rPr>
      </w:pPr>
    </w:p>
    <w:p w14:paraId="08512611">
      <w:pPr>
        <w:spacing w:line="580" w:lineRule="exact"/>
        <w:ind w:firstLine="640" w:firstLineChars="200"/>
        <w:outlineLvl w:val="1"/>
        <w:rPr>
          <w:rFonts w:ascii="Times New Roman" w:hAnsi="Times New Roman" w:eastAsia="方正仿宋_GBK"/>
          <w:sz w:val="32"/>
          <w:szCs w:val="32"/>
        </w:rPr>
      </w:pPr>
    </w:p>
    <w:p w14:paraId="35A140FF">
      <w:pPr>
        <w:spacing w:line="580" w:lineRule="exact"/>
        <w:ind w:firstLine="640" w:firstLineChars="200"/>
        <w:outlineLvl w:val="1"/>
        <w:rPr>
          <w:rFonts w:ascii="Times New Roman" w:hAnsi="Times New Roman" w:eastAsia="方正仿宋_GBK"/>
          <w:sz w:val="32"/>
          <w:szCs w:val="32"/>
        </w:rPr>
      </w:pPr>
    </w:p>
    <w:p w14:paraId="72741401">
      <w:pPr>
        <w:spacing w:line="580" w:lineRule="exact"/>
        <w:ind w:firstLine="640" w:firstLineChars="200"/>
        <w:outlineLvl w:val="1"/>
        <w:rPr>
          <w:rFonts w:ascii="Times New Roman" w:hAnsi="Times New Roman" w:eastAsia="方正仿宋_GBK"/>
          <w:sz w:val="32"/>
          <w:szCs w:val="32"/>
        </w:rPr>
      </w:pPr>
    </w:p>
    <w:p w14:paraId="56CC8967">
      <w:pPr>
        <w:spacing w:line="580" w:lineRule="exact"/>
        <w:ind w:firstLine="640" w:firstLineChars="200"/>
        <w:outlineLvl w:val="1"/>
        <w:rPr>
          <w:rFonts w:ascii="Times New Roman" w:hAnsi="Times New Roman" w:eastAsia="方正仿宋_GBK"/>
          <w:sz w:val="32"/>
          <w:szCs w:val="32"/>
        </w:rPr>
      </w:pPr>
    </w:p>
    <w:p w14:paraId="6EF65266">
      <w:pPr>
        <w:spacing w:line="580" w:lineRule="exact"/>
        <w:ind w:firstLine="640" w:firstLineChars="200"/>
        <w:outlineLvl w:val="1"/>
        <w:rPr>
          <w:rFonts w:ascii="Times New Roman" w:hAnsi="Times New Roman" w:eastAsia="方正仿宋_GBK"/>
          <w:sz w:val="32"/>
          <w:szCs w:val="32"/>
        </w:rPr>
      </w:pPr>
    </w:p>
    <w:p w14:paraId="7F327114">
      <w:pPr>
        <w:spacing w:line="580" w:lineRule="exact"/>
        <w:ind w:firstLine="640" w:firstLineChars="200"/>
        <w:outlineLvl w:val="1"/>
        <w:rPr>
          <w:rFonts w:ascii="Times New Roman" w:hAnsi="Times New Roman" w:eastAsia="方正仿宋_GBK"/>
          <w:sz w:val="32"/>
          <w:szCs w:val="32"/>
        </w:rPr>
      </w:pPr>
    </w:p>
    <w:p w14:paraId="778737C4">
      <w:pPr>
        <w:spacing w:line="580" w:lineRule="exact"/>
        <w:ind w:firstLine="640" w:firstLineChars="200"/>
        <w:outlineLvl w:val="1"/>
        <w:rPr>
          <w:rFonts w:ascii="Times New Roman" w:hAnsi="Times New Roman" w:eastAsia="方正仿宋_GBK"/>
          <w:sz w:val="32"/>
          <w:szCs w:val="32"/>
        </w:rPr>
      </w:pPr>
    </w:p>
    <w:p w14:paraId="0CFE8AE1">
      <w:pPr>
        <w:spacing w:line="580" w:lineRule="exact"/>
        <w:ind w:firstLine="640" w:firstLineChars="200"/>
        <w:outlineLvl w:val="1"/>
        <w:rPr>
          <w:rFonts w:ascii="Times New Roman" w:hAnsi="Times New Roman" w:eastAsia="方正仿宋_GBK"/>
          <w:sz w:val="32"/>
          <w:szCs w:val="32"/>
        </w:rPr>
      </w:pPr>
    </w:p>
    <w:p w14:paraId="3416DF76">
      <w:pPr>
        <w:spacing w:line="580" w:lineRule="exact"/>
        <w:outlineLvl w:val="1"/>
        <w:rPr>
          <w:rFonts w:ascii="Times New Roman" w:hAnsi="Times New Roman" w:eastAsia="方正仿宋_GBK"/>
          <w:sz w:val="32"/>
          <w:szCs w:val="32"/>
        </w:rPr>
      </w:pPr>
    </w:p>
    <w:sectPr>
      <w:footerReference r:id="rId3" w:type="default"/>
      <w:pgSz w:w="11906" w:h="16838"/>
      <w:pgMar w:top="215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AC7F">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4F8E2">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24F8E2">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ZDE0M2Y0YzNhZDc1NmIzNDFhOTdhMDFmOTc4NzYifQ=="/>
  </w:docVars>
  <w:rsids>
    <w:rsidRoot w:val="0062342A"/>
    <w:rsid w:val="00000F0D"/>
    <w:rsid w:val="00004CD0"/>
    <w:rsid w:val="00006A8E"/>
    <w:rsid w:val="00007E22"/>
    <w:rsid w:val="000117B6"/>
    <w:rsid w:val="00017E69"/>
    <w:rsid w:val="0002117A"/>
    <w:rsid w:val="00023F03"/>
    <w:rsid w:val="0002795B"/>
    <w:rsid w:val="00033DB5"/>
    <w:rsid w:val="00042116"/>
    <w:rsid w:val="00045D6E"/>
    <w:rsid w:val="00046C65"/>
    <w:rsid w:val="000545B0"/>
    <w:rsid w:val="000562C6"/>
    <w:rsid w:val="00062654"/>
    <w:rsid w:val="000643AD"/>
    <w:rsid w:val="0007169F"/>
    <w:rsid w:val="0007420B"/>
    <w:rsid w:val="000809BC"/>
    <w:rsid w:val="00081740"/>
    <w:rsid w:val="0008300E"/>
    <w:rsid w:val="00090584"/>
    <w:rsid w:val="00096E65"/>
    <w:rsid w:val="000A28A9"/>
    <w:rsid w:val="000A3141"/>
    <w:rsid w:val="000A7354"/>
    <w:rsid w:val="000B1B7A"/>
    <w:rsid w:val="000B363C"/>
    <w:rsid w:val="000B6FD9"/>
    <w:rsid w:val="000C280A"/>
    <w:rsid w:val="000C6B12"/>
    <w:rsid w:val="000C7C1A"/>
    <w:rsid w:val="000E0B1A"/>
    <w:rsid w:val="000E58AA"/>
    <w:rsid w:val="000F150A"/>
    <w:rsid w:val="00106428"/>
    <w:rsid w:val="0012561D"/>
    <w:rsid w:val="00141ABD"/>
    <w:rsid w:val="00157237"/>
    <w:rsid w:val="00157D6E"/>
    <w:rsid w:val="00167324"/>
    <w:rsid w:val="001803A4"/>
    <w:rsid w:val="00180B82"/>
    <w:rsid w:val="00184C1F"/>
    <w:rsid w:val="00193039"/>
    <w:rsid w:val="001B064B"/>
    <w:rsid w:val="001B48CE"/>
    <w:rsid w:val="001B63F6"/>
    <w:rsid w:val="001D0043"/>
    <w:rsid w:val="001D0966"/>
    <w:rsid w:val="001D63F5"/>
    <w:rsid w:val="001F26BD"/>
    <w:rsid w:val="00201199"/>
    <w:rsid w:val="0020320B"/>
    <w:rsid w:val="0021441B"/>
    <w:rsid w:val="00214E78"/>
    <w:rsid w:val="00225866"/>
    <w:rsid w:val="00235DBF"/>
    <w:rsid w:val="00243133"/>
    <w:rsid w:val="00255371"/>
    <w:rsid w:val="0026527B"/>
    <w:rsid w:val="002662D5"/>
    <w:rsid w:val="002717E3"/>
    <w:rsid w:val="002865B9"/>
    <w:rsid w:val="00286BD6"/>
    <w:rsid w:val="00291FF3"/>
    <w:rsid w:val="002A4C3F"/>
    <w:rsid w:val="002A63CA"/>
    <w:rsid w:val="002A733E"/>
    <w:rsid w:val="002C0A4F"/>
    <w:rsid w:val="002C3997"/>
    <w:rsid w:val="002D1F24"/>
    <w:rsid w:val="002D27F2"/>
    <w:rsid w:val="002D3036"/>
    <w:rsid w:val="002E4CAE"/>
    <w:rsid w:val="002F16A6"/>
    <w:rsid w:val="002F34C6"/>
    <w:rsid w:val="002F38C3"/>
    <w:rsid w:val="002F5E46"/>
    <w:rsid w:val="0030338F"/>
    <w:rsid w:val="00311241"/>
    <w:rsid w:val="0031679D"/>
    <w:rsid w:val="00317863"/>
    <w:rsid w:val="003277AB"/>
    <w:rsid w:val="0034091B"/>
    <w:rsid w:val="00341489"/>
    <w:rsid w:val="003424CA"/>
    <w:rsid w:val="00346F60"/>
    <w:rsid w:val="00350B93"/>
    <w:rsid w:val="00354E3F"/>
    <w:rsid w:val="003575A0"/>
    <w:rsid w:val="00375110"/>
    <w:rsid w:val="00380B51"/>
    <w:rsid w:val="00381D84"/>
    <w:rsid w:val="00385A1B"/>
    <w:rsid w:val="003A0914"/>
    <w:rsid w:val="003A20BA"/>
    <w:rsid w:val="003A6134"/>
    <w:rsid w:val="003C4DC2"/>
    <w:rsid w:val="003C7CBA"/>
    <w:rsid w:val="003D7F84"/>
    <w:rsid w:val="003F4313"/>
    <w:rsid w:val="003F5A37"/>
    <w:rsid w:val="004005E3"/>
    <w:rsid w:val="00404F7B"/>
    <w:rsid w:val="004126F8"/>
    <w:rsid w:val="00424F0F"/>
    <w:rsid w:val="00427162"/>
    <w:rsid w:val="00427D86"/>
    <w:rsid w:val="004312C1"/>
    <w:rsid w:val="00437715"/>
    <w:rsid w:val="00440502"/>
    <w:rsid w:val="00445B2C"/>
    <w:rsid w:val="0044605A"/>
    <w:rsid w:val="00472146"/>
    <w:rsid w:val="0047242B"/>
    <w:rsid w:val="004738E0"/>
    <w:rsid w:val="00483CD0"/>
    <w:rsid w:val="00487263"/>
    <w:rsid w:val="0049392C"/>
    <w:rsid w:val="004A0C3E"/>
    <w:rsid w:val="004A2A27"/>
    <w:rsid w:val="004B331D"/>
    <w:rsid w:val="004C4C12"/>
    <w:rsid w:val="004C4DC4"/>
    <w:rsid w:val="004C6368"/>
    <w:rsid w:val="004D1C04"/>
    <w:rsid w:val="004D5BF8"/>
    <w:rsid w:val="004E371C"/>
    <w:rsid w:val="004F24C2"/>
    <w:rsid w:val="005133A3"/>
    <w:rsid w:val="00513F66"/>
    <w:rsid w:val="005149EB"/>
    <w:rsid w:val="005159EA"/>
    <w:rsid w:val="005277A8"/>
    <w:rsid w:val="00531943"/>
    <w:rsid w:val="00532EDF"/>
    <w:rsid w:val="005376FD"/>
    <w:rsid w:val="005553D5"/>
    <w:rsid w:val="00555469"/>
    <w:rsid w:val="005634EE"/>
    <w:rsid w:val="00563733"/>
    <w:rsid w:val="0056565F"/>
    <w:rsid w:val="005801A8"/>
    <w:rsid w:val="005868B7"/>
    <w:rsid w:val="00586FEC"/>
    <w:rsid w:val="00596E33"/>
    <w:rsid w:val="005A4BB9"/>
    <w:rsid w:val="005A78EF"/>
    <w:rsid w:val="005B5ED2"/>
    <w:rsid w:val="005B6881"/>
    <w:rsid w:val="005E414D"/>
    <w:rsid w:val="005E6AEF"/>
    <w:rsid w:val="005F2562"/>
    <w:rsid w:val="005F2DF8"/>
    <w:rsid w:val="00601291"/>
    <w:rsid w:val="006038C4"/>
    <w:rsid w:val="00607140"/>
    <w:rsid w:val="0062342A"/>
    <w:rsid w:val="006317CA"/>
    <w:rsid w:val="00632492"/>
    <w:rsid w:val="00641FE1"/>
    <w:rsid w:val="00676537"/>
    <w:rsid w:val="0068053F"/>
    <w:rsid w:val="006901C1"/>
    <w:rsid w:val="00692E94"/>
    <w:rsid w:val="00695A5F"/>
    <w:rsid w:val="0069765F"/>
    <w:rsid w:val="006A1692"/>
    <w:rsid w:val="006B0B46"/>
    <w:rsid w:val="006B3AC0"/>
    <w:rsid w:val="006C034D"/>
    <w:rsid w:val="006C2233"/>
    <w:rsid w:val="006D7D16"/>
    <w:rsid w:val="006E4D70"/>
    <w:rsid w:val="006E7C1A"/>
    <w:rsid w:val="006F1114"/>
    <w:rsid w:val="00706129"/>
    <w:rsid w:val="007100F6"/>
    <w:rsid w:val="00717481"/>
    <w:rsid w:val="00731435"/>
    <w:rsid w:val="007332C4"/>
    <w:rsid w:val="007341F1"/>
    <w:rsid w:val="00741189"/>
    <w:rsid w:val="00750186"/>
    <w:rsid w:val="00750636"/>
    <w:rsid w:val="007668EF"/>
    <w:rsid w:val="007701BF"/>
    <w:rsid w:val="00784AA5"/>
    <w:rsid w:val="00786708"/>
    <w:rsid w:val="00787221"/>
    <w:rsid w:val="00787839"/>
    <w:rsid w:val="00792C7C"/>
    <w:rsid w:val="007A1B11"/>
    <w:rsid w:val="007A5270"/>
    <w:rsid w:val="007B3AD5"/>
    <w:rsid w:val="007B7386"/>
    <w:rsid w:val="007C0F9F"/>
    <w:rsid w:val="007C5327"/>
    <w:rsid w:val="007D01E1"/>
    <w:rsid w:val="007D1338"/>
    <w:rsid w:val="007E0D05"/>
    <w:rsid w:val="007E7FBF"/>
    <w:rsid w:val="007F0F7B"/>
    <w:rsid w:val="007F2F0A"/>
    <w:rsid w:val="00800190"/>
    <w:rsid w:val="00810652"/>
    <w:rsid w:val="00810825"/>
    <w:rsid w:val="00827960"/>
    <w:rsid w:val="00833261"/>
    <w:rsid w:val="008333DD"/>
    <w:rsid w:val="00844285"/>
    <w:rsid w:val="00861BAF"/>
    <w:rsid w:val="00863363"/>
    <w:rsid w:val="00867278"/>
    <w:rsid w:val="0088184F"/>
    <w:rsid w:val="00885C87"/>
    <w:rsid w:val="00892D99"/>
    <w:rsid w:val="00895A19"/>
    <w:rsid w:val="008B3052"/>
    <w:rsid w:val="008B5B85"/>
    <w:rsid w:val="008C0465"/>
    <w:rsid w:val="008C4B1B"/>
    <w:rsid w:val="008D58BB"/>
    <w:rsid w:val="008D7E9A"/>
    <w:rsid w:val="008F69FE"/>
    <w:rsid w:val="009020B8"/>
    <w:rsid w:val="009033DC"/>
    <w:rsid w:val="00903730"/>
    <w:rsid w:val="009053F0"/>
    <w:rsid w:val="00905448"/>
    <w:rsid w:val="00905740"/>
    <w:rsid w:val="0091330A"/>
    <w:rsid w:val="00915FC3"/>
    <w:rsid w:val="00923A07"/>
    <w:rsid w:val="009259CB"/>
    <w:rsid w:val="00927EE1"/>
    <w:rsid w:val="009303AE"/>
    <w:rsid w:val="00935B06"/>
    <w:rsid w:val="00935D7B"/>
    <w:rsid w:val="00945F4C"/>
    <w:rsid w:val="00950170"/>
    <w:rsid w:val="00950CE2"/>
    <w:rsid w:val="00955F68"/>
    <w:rsid w:val="00986BA3"/>
    <w:rsid w:val="00990ABD"/>
    <w:rsid w:val="00992BC6"/>
    <w:rsid w:val="009A132A"/>
    <w:rsid w:val="009A2526"/>
    <w:rsid w:val="009A5867"/>
    <w:rsid w:val="009A6345"/>
    <w:rsid w:val="009B0908"/>
    <w:rsid w:val="009D78EE"/>
    <w:rsid w:val="009E0AA7"/>
    <w:rsid w:val="009F099F"/>
    <w:rsid w:val="009F4EA2"/>
    <w:rsid w:val="009F67BB"/>
    <w:rsid w:val="00A0465F"/>
    <w:rsid w:val="00A04F8C"/>
    <w:rsid w:val="00A05241"/>
    <w:rsid w:val="00A06EE7"/>
    <w:rsid w:val="00A12B5B"/>
    <w:rsid w:val="00A15E26"/>
    <w:rsid w:val="00A163FB"/>
    <w:rsid w:val="00A32185"/>
    <w:rsid w:val="00A32D23"/>
    <w:rsid w:val="00A365C3"/>
    <w:rsid w:val="00A47D59"/>
    <w:rsid w:val="00A5329F"/>
    <w:rsid w:val="00A6052A"/>
    <w:rsid w:val="00A65CC8"/>
    <w:rsid w:val="00A835BD"/>
    <w:rsid w:val="00A92D3E"/>
    <w:rsid w:val="00A96745"/>
    <w:rsid w:val="00A97524"/>
    <w:rsid w:val="00A97E86"/>
    <w:rsid w:val="00AA02E2"/>
    <w:rsid w:val="00AA3400"/>
    <w:rsid w:val="00AA3F80"/>
    <w:rsid w:val="00AA77BB"/>
    <w:rsid w:val="00AC21E9"/>
    <w:rsid w:val="00AC33A4"/>
    <w:rsid w:val="00AE1F6A"/>
    <w:rsid w:val="00AF12C9"/>
    <w:rsid w:val="00AF228F"/>
    <w:rsid w:val="00AF4745"/>
    <w:rsid w:val="00B02A08"/>
    <w:rsid w:val="00B07EBE"/>
    <w:rsid w:val="00B11FCC"/>
    <w:rsid w:val="00B15117"/>
    <w:rsid w:val="00B1674E"/>
    <w:rsid w:val="00B17968"/>
    <w:rsid w:val="00B22F27"/>
    <w:rsid w:val="00B30E86"/>
    <w:rsid w:val="00B54420"/>
    <w:rsid w:val="00B55735"/>
    <w:rsid w:val="00B652B4"/>
    <w:rsid w:val="00B67CEA"/>
    <w:rsid w:val="00B75A27"/>
    <w:rsid w:val="00B76C25"/>
    <w:rsid w:val="00B800AB"/>
    <w:rsid w:val="00B952EF"/>
    <w:rsid w:val="00BB3D20"/>
    <w:rsid w:val="00BB51D1"/>
    <w:rsid w:val="00BD57E7"/>
    <w:rsid w:val="00BD5810"/>
    <w:rsid w:val="00BF5DD9"/>
    <w:rsid w:val="00BF7E63"/>
    <w:rsid w:val="00C03041"/>
    <w:rsid w:val="00C07720"/>
    <w:rsid w:val="00C07C93"/>
    <w:rsid w:val="00C25552"/>
    <w:rsid w:val="00C304FD"/>
    <w:rsid w:val="00C3229D"/>
    <w:rsid w:val="00C34FBF"/>
    <w:rsid w:val="00C457CB"/>
    <w:rsid w:val="00C50DE4"/>
    <w:rsid w:val="00C51560"/>
    <w:rsid w:val="00C51E3E"/>
    <w:rsid w:val="00C52D43"/>
    <w:rsid w:val="00C53F3F"/>
    <w:rsid w:val="00C61A92"/>
    <w:rsid w:val="00C62216"/>
    <w:rsid w:val="00C67813"/>
    <w:rsid w:val="00C67CDF"/>
    <w:rsid w:val="00C90447"/>
    <w:rsid w:val="00C92CDA"/>
    <w:rsid w:val="00C934B5"/>
    <w:rsid w:val="00CA15EE"/>
    <w:rsid w:val="00CA66F0"/>
    <w:rsid w:val="00CB012E"/>
    <w:rsid w:val="00CB1869"/>
    <w:rsid w:val="00CB250D"/>
    <w:rsid w:val="00CB41E0"/>
    <w:rsid w:val="00CB6384"/>
    <w:rsid w:val="00CD34FF"/>
    <w:rsid w:val="00CD4C6B"/>
    <w:rsid w:val="00CE40AD"/>
    <w:rsid w:val="00D02140"/>
    <w:rsid w:val="00D03A6A"/>
    <w:rsid w:val="00D12429"/>
    <w:rsid w:val="00D13B42"/>
    <w:rsid w:val="00D2027F"/>
    <w:rsid w:val="00D27A33"/>
    <w:rsid w:val="00D611F4"/>
    <w:rsid w:val="00D71C49"/>
    <w:rsid w:val="00D77719"/>
    <w:rsid w:val="00D8059D"/>
    <w:rsid w:val="00DA064A"/>
    <w:rsid w:val="00DA4B0E"/>
    <w:rsid w:val="00DA67A1"/>
    <w:rsid w:val="00DB41AA"/>
    <w:rsid w:val="00DC40A6"/>
    <w:rsid w:val="00DC5F52"/>
    <w:rsid w:val="00DE236E"/>
    <w:rsid w:val="00DE5F1C"/>
    <w:rsid w:val="00DF0345"/>
    <w:rsid w:val="00DF0804"/>
    <w:rsid w:val="00DF3E69"/>
    <w:rsid w:val="00E13229"/>
    <w:rsid w:val="00E1609C"/>
    <w:rsid w:val="00E16724"/>
    <w:rsid w:val="00E206ED"/>
    <w:rsid w:val="00E2494A"/>
    <w:rsid w:val="00E251B0"/>
    <w:rsid w:val="00E31638"/>
    <w:rsid w:val="00E37240"/>
    <w:rsid w:val="00E41196"/>
    <w:rsid w:val="00E43CAB"/>
    <w:rsid w:val="00E522BE"/>
    <w:rsid w:val="00E60D1C"/>
    <w:rsid w:val="00E6463D"/>
    <w:rsid w:val="00E7029F"/>
    <w:rsid w:val="00E7431A"/>
    <w:rsid w:val="00E746B6"/>
    <w:rsid w:val="00E84E90"/>
    <w:rsid w:val="00E92659"/>
    <w:rsid w:val="00E932DD"/>
    <w:rsid w:val="00E93CF3"/>
    <w:rsid w:val="00EB3548"/>
    <w:rsid w:val="00EB53CB"/>
    <w:rsid w:val="00EB647A"/>
    <w:rsid w:val="00EC5F39"/>
    <w:rsid w:val="00ED1D86"/>
    <w:rsid w:val="00ED2E93"/>
    <w:rsid w:val="00ED43C7"/>
    <w:rsid w:val="00EF03CC"/>
    <w:rsid w:val="00EF1BC1"/>
    <w:rsid w:val="00EF65DC"/>
    <w:rsid w:val="00F10DB8"/>
    <w:rsid w:val="00F12082"/>
    <w:rsid w:val="00F1522F"/>
    <w:rsid w:val="00F171C2"/>
    <w:rsid w:val="00F17FC3"/>
    <w:rsid w:val="00F2376F"/>
    <w:rsid w:val="00F317DE"/>
    <w:rsid w:val="00F338B0"/>
    <w:rsid w:val="00F45000"/>
    <w:rsid w:val="00F452B3"/>
    <w:rsid w:val="00F4768D"/>
    <w:rsid w:val="00F503F8"/>
    <w:rsid w:val="00F56AD7"/>
    <w:rsid w:val="00F579B2"/>
    <w:rsid w:val="00F625F4"/>
    <w:rsid w:val="00F70586"/>
    <w:rsid w:val="00F7149A"/>
    <w:rsid w:val="00F7455C"/>
    <w:rsid w:val="00FA4096"/>
    <w:rsid w:val="00FB513D"/>
    <w:rsid w:val="00FC6A7D"/>
    <w:rsid w:val="00FD04F0"/>
    <w:rsid w:val="00FD2C1E"/>
    <w:rsid w:val="00FE1387"/>
    <w:rsid w:val="00FE2C4B"/>
    <w:rsid w:val="00FE5FE5"/>
    <w:rsid w:val="017442FA"/>
    <w:rsid w:val="01AC5842"/>
    <w:rsid w:val="01C947F7"/>
    <w:rsid w:val="025C7268"/>
    <w:rsid w:val="027E1F84"/>
    <w:rsid w:val="029F0F02"/>
    <w:rsid w:val="02B1066F"/>
    <w:rsid w:val="02DE0327"/>
    <w:rsid w:val="03990047"/>
    <w:rsid w:val="03A10CAA"/>
    <w:rsid w:val="03AF1619"/>
    <w:rsid w:val="03B7227C"/>
    <w:rsid w:val="03C23F42"/>
    <w:rsid w:val="046046C1"/>
    <w:rsid w:val="047D34C5"/>
    <w:rsid w:val="04A171B4"/>
    <w:rsid w:val="04C64E6C"/>
    <w:rsid w:val="053E1C19"/>
    <w:rsid w:val="055A55B4"/>
    <w:rsid w:val="05A22FBB"/>
    <w:rsid w:val="06253E14"/>
    <w:rsid w:val="06373B6C"/>
    <w:rsid w:val="063858F6"/>
    <w:rsid w:val="064918B1"/>
    <w:rsid w:val="06764670"/>
    <w:rsid w:val="06BF1B73"/>
    <w:rsid w:val="06F85085"/>
    <w:rsid w:val="07270820"/>
    <w:rsid w:val="07634B9C"/>
    <w:rsid w:val="077B0190"/>
    <w:rsid w:val="07BC60B3"/>
    <w:rsid w:val="07C2099C"/>
    <w:rsid w:val="07F97307"/>
    <w:rsid w:val="09436A8B"/>
    <w:rsid w:val="094E71DE"/>
    <w:rsid w:val="09E85885"/>
    <w:rsid w:val="09F47D86"/>
    <w:rsid w:val="0A212821"/>
    <w:rsid w:val="0A4A1582"/>
    <w:rsid w:val="0A6B468D"/>
    <w:rsid w:val="0A9652E1"/>
    <w:rsid w:val="0AAA5187"/>
    <w:rsid w:val="0ABD461B"/>
    <w:rsid w:val="0B064214"/>
    <w:rsid w:val="0B30303F"/>
    <w:rsid w:val="0C0A7D34"/>
    <w:rsid w:val="0C395F24"/>
    <w:rsid w:val="0C45116E"/>
    <w:rsid w:val="0C5745FC"/>
    <w:rsid w:val="0C676F35"/>
    <w:rsid w:val="0CD65E68"/>
    <w:rsid w:val="0D091D9A"/>
    <w:rsid w:val="0D2546FA"/>
    <w:rsid w:val="0E3015A8"/>
    <w:rsid w:val="0E39045D"/>
    <w:rsid w:val="0E572FD9"/>
    <w:rsid w:val="0E6A4ABA"/>
    <w:rsid w:val="0E796AAB"/>
    <w:rsid w:val="0ECA7307"/>
    <w:rsid w:val="0ED04E43"/>
    <w:rsid w:val="0EF820C6"/>
    <w:rsid w:val="0F1467D4"/>
    <w:rsid w:val="10374E70"/>
    <w:rsid w:val="10394744"/>
    <w:rsid w:val="106E0299"/>
    <w:rsid w:val="10861954"/>
    <w:rsid w:val="10A5627E"/>
    <w:rsid w:val="10DB1C9F"/>
    <w:rsid w:val="10E8616A"/>
    <w:rsid w:val="10FD1C16"/>
    <w:rsid w:val="11380EA0"/>
    <w:rsid w:val="118C4D48"/>
    <w:rsid w:val="119223BF"/>
    <w:rsid w:val="119C142F"/>
    <w:rsid w:val="11B5604C"/>
    <w:rsid w:val="11BE2DE2"/>
    <w:rsid w:val="11D40E8F"/>
    <w:rsid w:val="11D81D3B"/>
    <w:rsid w:val="11D861B7"/>
    <w:rsid w:val="12260CF8"/>
    <w:rsid w:val="129E4D32"/>
    <w:rsid w:val="12BC165D"/>
    <w:rsid w:val="12F6698B"/>
    <w:rsid w:val="12F86B39"/>
    <w:rsid w:val="130A686C"/>
    <w:rsid w:val="13FA068E"/>
    <w:rsid w:val="14AF1479"/>
    <w:rsid w:val="14CA0061"/>
    <w:rsid w:val="152E18A4"/>
    <w:rsid w:val="161C2B3E"/>
    <w:rsid w:val="162D33A1"/>
    <w:rsid w:val="165F5875"/>
    <w:rsid w:val="16914C6F"/>
    <w:rsid w:val="16F75359"/>
    <w:rsid w:val="16FC471D"/>
    <w:rsid w:val="16FF7D6A"/>
    <w:rsid w:val="17127A9D"/>
    <w:rsid w:val="17984446"/>
    <w:rsid w:val="17A634DC"/>
    <w:rsid w:val="17B80644"/>
    <w:rsid w:val="1821268E"/>
    <w:rsid w:val="185F0FC1"/>
    <w:rsid w:val="18B43502"/>
    <w:rsid w:val="197364AD"/>
    <w:rsid w:val="197565E1"/>
    <w:rsid w:val="19993273"/>
    <w:rsid w:val="19EA2F53"/>
    <w:rsid w:val="19F811CC"/>
    <w:rsid w:val="1AC6751C"/>
    <w:rsid w:val="1AFF0141"/>
    <w:rsid w:val="1B0C7442"/>
    <w:rsid w:val="1B4B7A22"/>
    <w:rsid w:val="1B593EEC"/>
    <w:rsid w:val="1B5A1DA3"/>
    <w:rsid w:val="1B762CF0"/>
    <w:rsid w:val="1B7E5B89"/>
    <w:rsid w:val="1BB235FD"/>
    <w:rsid w:val="1BE91714"/>
    <w:rsid w:val="1C4A5F2B"/>
    <w:rsid w:val="1C600096"/>
    <w:rsid w:val="1CC60BCB"/>
    <w:rsid w:val="1CE974F2"/>
    <w:rsid w:val="1CFA3ADA"/>
    <w:rsid w:val="1D1232A7"/>
    <w:rsid w:val="1D682B0D"/>
    <w:rsid w:val="1D6D6A46"/>
    <w:rsid w:val="1E4E72A7"/>
    <w:rsid w:val="1EB63404"/>
    <w:rsid w:val="1ECB5101"/>
    <w:rsid w:val="1ECE074D"/>
    <w:rsid w:val="1ED57D2E"/>
    <w:rsid w:val="1ED65854"/>
    <w:rsid w:val="1F122D30"/>
    <w:rsid w:val="1F15640C"/>
    <w:rsid w:val="1F615A66"/>
    <w:rsid w:val="1FA871F0"/>
    <w:rsid w:val="1FAF67D1"/>
    <w:rsid w:val="1FDF13FF"/>
    <w:rsid w:val="203374F1"/>
    <w:rsid w:val="204A64FA"/>
    <w:rsid w:val="204D5FEA"/>
    <w:rsid w:val="2076109D"/>
    <w:rsid w:val="20812468"/>
    <w:rsid w:val="20BB11A5"/>
    <w:rsid w:val="210B0832"/>
    <w:rsid w:val="21645399"/>
    <w:rsid w:val="21676C37"/>
    <w:rsid w:val="21E14C3C"/>
    <w:rsid w:val="22124DF5"/>
    <w:rsid w:val="22146DBF"/>
    <w:rsid w:val="2249634C"/>
    <w:rsid w:val="227B6E3E"/>
    <w:rsid w:val="2285391D"/>
    <w:rsid w:val="22A87507"/>
    <w:rsid w:val="236118E9"/>
    <w:rsid w:val="236773C3"/>
    <w:rsid w:val="23B21A9D"/>
    <w:rsid w:val="24015121"/>
    <w:rsid w:val="24376D95"/>
    <w:rsid w:val="24530BF2"/>
    <w:rsid w:val="2471674B"/>
    <w:rsid w:val="24AE34FB"/>
    <w:rsid w:val="24EE28F8"/>
    <w:rsid w:val="25453733"/>
    <w:rsid w:val="25457324"/>
    <w:rsid w:val="25AF6C59"/>
    <w:rsid w:val="25BE5390"/>
    <w:rsid w:val="25C42942"/>
    <w:rsid w:val="26CB251C"/>
    <w:rsid w:val="275D6B12"/>
    <w:rsid w:val="28757C15"/>
    <w:rsid w:val="289478CD"/>
    <w:rsid w:val="28E9010A"/>
    <w:rsid w:val="293B10D5"/>
    <w:rsid w:val="2948084E"/>
    <w:rsid w:val="2970538A"/>
    <w:rsid w:val="29D67050"/>
    <w:rsid w:val="29DF5F05"/>
    <w:rsid w:val="29E17ECF"/>
    <w:rsid w:val="2AC9303B"/>
    <w:rsid w:val="2AE91685"/>
    <w:rsid w:val="2B035C23"/>
    <w:rsid w:val="2B2C33CC"/>
    <w:rsid w:val="2B8D0C77"/>
    <w:rsid w:val="2B97636B"/>
    <w:rsid w:val="2BC71AAA"/>
    <w:rsid w:val="2BD92135"/>
    <w:rsid w:val="2C293467"/>
    <w:rsid w:val="2CB43679"/>
    <w:rsid w:val="2D0F4D53"/>
    <w:rsid w:val="2D464B5E"/>
    <w:rsid w:val="2D7626DC"/>
    <w:rsid w:val="2D9240C1"/>
    <w:rsid w:val="2DED5686"/>
    <w:rsid w:val="2E4F1C4A"/>
    <w:rsid w:val="2EB77450"/>
    <w:rsid w:val="2F0D5A55"/>
    <w:rsid w:val="2F4F7689"/>
    <w:rsid w:val="2FBC45F2"/>
    <w:rsid w:val="2FF87D20"/>
    <w:rsid w:val="30601421"/>
    <w:rsid w:val="307849BD"/>
    <w:rsid w:val="308050E6"/>
    <w:rsid w:val="308B46F0"/>
    <w:rsid w:val="309D08C8"/>
    <w:rsid w:val="30E3277E"/>
    <w:rsid w:val="312B7C81"/>
    <w:rsid w:val="316F4012"/>
    <w:rsid w:val="318D6246"/>
    <w:rsid w:val="31AD4B3A"/>
    <w:rsid w:val="3207424B"/>
    <w:rsid w:val="320F30FF"/>
    <w:rsid w:val="32843AED"/>
    <w:rsid w:val="32DF00FE"/>
    <w:rsid w:val="33285EF8"/>
    <w:rsid w:val="332D5F33"/>
    <w:rsid w:val="333258B1"/>
    <w:rsid w:val="335A2AA0"/>
    <w:rsid w:val="337A319B"/>
    <w:rsid w:val="33835B53"/>
    <w:rsid w:val="33BE6B8B"/>
    <w:rsid w:val="340437E5"/>
    <w:rsid w:val="343B15D1"/>
    <w:rsid w:val="34C9488B"/>
    <w:rsid w:val="34E37753"/>
    <w:rsid w:val="34FA3BF3"/>
    <w:rsid w:val="351153E0"/>
    <w:rsid w:val="354420B3"/>
    <w:rsid w:val="357708FE"/>
    <w:rsid w:val="35B53FBD"/>
    <w:rsid w:val="35B53FBE"/>
    <w:rsid w:val="35F042FF"/>
    <w:rsid w:val="36032F7B"/>
    <w:rsid w:val="3652180C"/>
    <w:rsid w:val="366D1A51"/>
    <w:rsid w:val="36A209E6"/>
    <w:rsid w:val="36E27742"/>
    <w:rsid w:val="37682828"/>
    <w:rsid w:val="378557A7"/>
    <w:rsid w:val="37D050DF"/>
    <w:rsid w:val="37E3555B"/>
    <w:rsid w:val="39203E44"/>
    <w:rsid w:val="39A607ED"/>
    <w:rsid w:val="39F41558"/>
    <w:rsid w:val="3A323E2F"/>
    <w:rsid w:val="3A777A93"/>
    <w:rsid w:val="3A7E4EF1"/>
    <w:rsid w:val="3AB605BC"/>
    <w:rsid w:val="3AE86B4F"/>
    <w:rsid w:val="3B077069"/>
    <w:rsid w:val="3B212C76"/>
    <w:rsid w:val="3B293484"/>
    <w:rsid w:val="3B4264A6"/>
    <w:rsid w:val="3B660234"/>
    <w:rsid w:val="3B6E70E8"/>
    <w:rsid w:val="3B7010B2"/>
    <w:rsid w:val="3BB52F69"/>
    <w:rsid w:val="3BE850ED"/>
    <w:rsid w:val="3C0E2679"/>
    <w:rsid w:val="3C300842"/>
    <w:rsid w:val="3C4B11D8"/>
    <w:rsid w:val="3D0F66A9"/>
    <w:rsid w:val="3DAD7E8B"/>
    <w:rsid w:val="3E5A1BA6"/>
    <w:rsid w:val="3E7013C9"/>
    <w:rsid w:val="3EAA48DB"/>
    <w:rsid w:val="3ED96F6F"/>
    <w:rsid w:val="3EDF3E59"/>
    <w:rsid w:val="3F2A52A1"/>
    <w:rsid w:val="3F32042D"/>
    <w:rsid w:val="3F487C50"/>
    <w:rsid w:val="3F634A8A"/>
    <w:rsid w:val="3FC619D0"/>
    <w:rsid w:val="4021297B"/>
    <w:rsid w:val="40271F5C"/>
    <w:rsid w:val="4052363E"/>
    <w:rsid w:val="40905D53"/>
    <w:rsid w:val="40C559FD"/>
    <w:rsid w:val="40ED32DF"/>
    <w:rsid w:val="411D7259"/>
    <w:rsid w:val="41685C9B"/>
    <w:rsid w:val="416C4DDA"/>
    <w:rsid w:val="41D63C39"/>
    <w:rsid w:val="41DE664A"/>
    <w:rsid w:val="41E9571B"/>
    <w:rsid w:val="42497F67"/>
    <w:rsid w:val="428B0580"/>
    <w:rsid w:val="42AC04F6"/>
    <w:rsid w:val="42C57F36"/>
    <w:rsid w:val="432804C5"/>
    <w:rsid w:val="433E3C61"/>
    <w:rsid w:val="44112D07"/>
    <w:rsid w:val="44202F4A"/>
    <w:rsid w:val="442E38B9"/>
    <w:rsid w:val="443A225E"/>
    <w:rsid w:val="448259B3"/>
    <w:rsid w:val="44826512"/>
    <w:rsid w:val="44C925A2"/>
    <w:rsid w:val="44F20D8A"/>
    <w:rsid w:val="450D3085"/>
    <w:rsid w:val="459D1298"/>
    <w:rsid w:val="45F14B9E"/>
    <w:rsid w:val="46481AB0"/>
    <w:rsid w:val="465B64BB"/>
    <w:rsid w:val="471C5C4A"/>
    <w:rsid w:val="47215957"/>
    <w:rsid w:val="473C085A"/>
    <w:rsid w:val="477448D8"/>
    <w:rsid w:val="47F15329"/>
    <w:rsid w:val="48D34EFC"/>
    <w:rsid w:val="49156DF5"/>
    <w:rsid w:val="49211C3E"/>
    <w:rsid w:val="496E6505"/>
    <w:rsid w:val="4990604B"/>
    <w:rsid w:val="49A62143"/>
    <w:rsid w:val="49B93C25"/>
    <w:rsid w:val="4A235542"/>
    <w:rsid w:val="4A8D3792"/>
    <w:rsid w:val="4AF7099F"/>
    <w:rsid w:val="4B3A6FE7"/>
    <w:rsid w:val="4BCE72EF"/>
    <w:rsid w:val="4BE5547B"/>
    <w:rsid w:val="4C2C6AF3"/>
    <w:rsid w:val="4C667968"/>
    <w:rsid w:val="4C994BE1"/>
    <w:rsid w:val="4CAF7561"/>
    <w:rsid w:val="4D551EB6"/>
    <w:rsid w:val="4D565C2E"/>
    <w:rsid w:val="4D5B4FF3"/>
    <w:rsid w:val="4E830CA5"/>
    <w:rsid w:val="4E915170"/>
    <w:rsid w:val="4ED55D56"/>
    <w:rsid w:val="4EFD2805"/>
    <w:rsid w:val="4F20677E"/>
    <w:rsid w:val="4F3E697A"/>
    <w:rsid w:val="4F4E3061"/>
    <w:rsid w:val="4F5543EF"/>
    <w:rsid w:val="4F792B9F"/>
    <w:rsid w:val="4F7C7BCE"/>
    <w:rsid w:val="4F8B7E11"/>
    <w:rsid w:val="4F91579A"/>
    <w:rsid w:val="4FAD28F1"/>
    <w:rsid w:val="4FC652ED"/>
    <w:rsid w:val="4FF01E6B"/>
    <w:rsid w:val="503F612E"/>
    <w:rsid w:val="50D92DFE"/>
    <w:rsid w:val="51B1103D"/>
    <w:rsid w:val="51E732F9"/>
    <w:rsid w:val="52081BED"/>
    <w:rsid w:val="52576789"/>
    <w:rsid w:val="526861E8"/>
    <w:rsid w:val="527F62B8"/>
    <w:rsid w:val="52E141EC"/>
    <w:rsid w:val="534C4961"/>
    <w:rsid w:val="535B7AFB"/>
    <w:rsid w:val="538928BA"/>
    <w:rsid w:val="53EA0E7E"/>
    <w:rsid w:val="541E0E7E"/>
    <w:rsid w:val="541F321E"/>
    <w:rsid w:val="545E3D46"/>
    <w:rsid w:val="54696247"/>
    <w:rsid w:val="54AA546C"/>
    <w:rsid w:val="561A0AEC"/>
    <w:rsid w:val="565076BF"/>
    <w:rsid w:val="5709481B"/>
    <w:rsid w:val="57197921"/>
    <w:rsid w:val="57D40FC7"/>
    <w:rsid w:val="57FF0273"/>
    <w:rsid w:val="583F3E8F"/>
    <w:rsid w:val="58AD5A20"/>
    <w:rsid w:val="591E3334"/>
    <w:rsid w:val="59856C2D"/>
    <w:rsid w:val="59A044B9"/>
    <w:rsid w:val="59E720E8"/>
    <w:rsid w:val="5A461504"/>
    <w:rsid w:val="5A5B6428"/>
    <w:rsid w:val="5A61633E"/>
    <w:rsid w:val="5AC266B1"/>
    <w:rsid w:val="5B040859"/>
    <w:rsid w:val="5B0E2E06"/>
    <w:rsid w:val="5B21787C"/>
    <w:rsid w:val="5B501F0F"/>
    <w:rsid w:val="5B5440E0"/>
    <w:rsid w:val="5B863B83"/>
    <w:rsid w:val="5B98519E"/>
    <w:rsid w:val="5BFE5E0F"/>
    <w:rsid w:val="5CF81A48"/>
    <w:rsid w:val="5DA64068"/>
    <w:rsid w:val="5DA64281"/>
    <w:rsid w:val="5E0A45F7"/>
    <w:rsid w:val="5E5B60A0"/>
    <w:rsid w:val="5E9D190F"/>
    <w:rsid w:val="5EA66A16"/>
    <w:rsid w:val="5F013C4C"/>
    <w:rsid w:val="5F08021D"/>
    <w:rsid w:val="5F48187B"/>
    <w:rsid w:val="5FE5356E"/>
    <w:rsid w:val="5FF23595"/>
    <w:rsid w:val="5FF44D4C"/>
    <w:rsid w:val="601C6864"/>
    <w:rsid w:val="60771CEC"/>
    <w:rsid w:val="60A54AAB"/>
    <w:rsid w:val="60A9459B"/>
    <w:rsid w:val="60D57568"/>
    <w:rsid w:val="60E530F9"/>
    <w:rsid w:val="60EF5D26"/>
    <w:rsid w:val="61063A3A"/>
    <w:rsid w:val="610E2650"/>
    <w:rsid w:val="613876CD"/>
    <w:rsid w:val="615362B5"/>
    <w:rsid w:val="617F354E"/>
    <w:rsid w:val="620B4DE2"/>
    <w:rsid w:val="62683FE2"/>
    <w:rsid w:val="62F27BAB"/>
    <w:rsid w:val="632717A7"/>
    <w:rsid w:val="633A772C"/>
    <w:rsid w:val="635051A2"/>
    <w:rsid w:val="63783DBB"/>
    <w:rsid w:val="63CB4828"/>
    <w:rsid w:val="63FD075A"/>
    <w:rsid w:val="643F7928"/>
    <w:rsid w:val="649B41FB"/>
    <w:rsid w:val="64A77044"/>
    <w:rsid w:val="64AD324C"/>
    <w:rsid w:val="64B452BD"/>
    <w:rsid w:val="65B17A4E"/>
    <w:rsid w:val="67535201"/>
    <w:rsid w:val="6760797E"/>
    <w:rsid w:val="67B143CB"/>
    <w:rsid w:val="67CC0B6F"/>
    <w:rsid w:val="67DF08A2"/>
    <w:rsid w:val="6809591F"/>
    <w:rsid w:val="6850059F"/>
    <w:rsid w:val="687A05CB"/>
    <w:rsid w:val="691C1682"/>
    <w:rsid w:val="694D041D"/>
    <w:rsid w:val="69FF237F"/>
    <w:rsid w:val="6A192AA3"/>
    <w:rsid w:val="6A2C1D99"/>
    <w:rsid w:val="6A507835"/>
    <w:rsid w:val="6B6712DB"/>
    <w:rsid w:val="6B7F2660"/>
    <w:rsid w:val="6B8D6867"/>
    <w:rsid w:val="6B9B0F84"/>
    <w:rsid w:val="6BEA57EB"/>
    <w:rsid w:val="6C537AB1"/>
    <w:rsid w:val="6C67530A"/>
    <w:rsid w:val="6D2F407A"/>
    <w:rsid w:val="6D605FE2"/>
    <w:rsid w:val="6D7C6B93"/>
    <w:rsid w:val="6DBD3434"/>
    <w:rsid w:val="6DE05374"/>
    <w:rsid w:val="6E05302D"/>
    <w:rsid w:val="6E492F1A"/>
    <w:rsid w:val="6E5A0C83"/>
    <w:rsid w:val="6E5F21B1"/>
    <w:rsid w:val="6E851A66"/>
    <w:rsid w:val="6ED722D3"/>
    <w:rsid w:val="6EE3511C"/>
    <w:rsid w:val="6EE67BF3"/>
    <w:rsid w:val="6EEE3AC1"/>
    <w:rsid w:val="6EFA06B8"/>
    <w:rsid w:val="6F9C52CB"/>
    <w:rsid w:val="6FAA5C3A"/>
    <w:rsid w:val="6FAB1CAD"/>
    <w:rsid w:val="70862203"/>
    <w:rsid w:val="709541F4"/>
    <w:rsid w:val="715D4F40"/>
    <w:rsid w:val="717958C4"/>
    <w:rsid w:val="71D41FF5"/>
    <w:rsid w:val="72834520"/>
    <w:rsid w:val="72A057C0"/>
    <w:rsid w:val="72A61BB4"/>
    <w:rsid w:val="72D54D7C"/>
    <w:rsid w:val="72FA2A34"/>
    <w:rsid w:val="73016032"/>
    <w:rsid w:val="735B0BBA"/>
    <w:rsid w:val="736B3932"/>
    <w:rsid w:val="73866789"/>
    <w:rsid w:val="73D9089C"/>
    <w:rsid w:val="73E84F83"/>
    <w:rsid w:val="742C1313"/>
    <w:rsid w:val="746429DF"/>
    <w:rsid w:val="74B2396D"/>
    <w:rsid w:val="74E36A7B"/>
    <w:rsid w:val="74E7348C"/>
    <w:rsid w:val="75153B55"/>
    <w:rsid w:val="75B34F19"/>
    <w:rsid w:val="764519B7"/>
    <w:rsid w:val="766C59F7"/>
    <w:rsid w:val="76B13D52"/>
    <w:rsid w:val="76C84BF7"/>
    <w:rsid w:val="77CD1D00"/>
    <w:rsid w:val="78202F3D"/>
    <w:rsid w:val="789E21F2"/>
    <w:rsid w:val="78C0027C"/>
    <w:rsid w:val="79075EAB"/>
    <w:rsid w:val="790E7239"/>
    <w:rsid w:val="796C3F60"/>
    <w:rsid w:val="79780B57"/>
    <w:rsid w:val="79C4530B"/>
    <w:rsid w:val="7A410F49"/>
    <w:rsid w:val="7A440A39"/>
    <w:rsid w:val="7A5944E4"/>
    <w:rsid w:val="7A992B33"/>
    <w:rsid w:val="7AEF6BF7"/>
    <w:rsid w:val="7AF75AAB"/>
    <w:rsid w:val="7B3F192C"/>
    <w:rsid w:val="7B7B048A"/>
    <w:rsid w:val="7B8B1846"/>
    <w:rsid w:val="7BE83AF6"/>
    <w:rsid w:val="7BFF2E69"/>
    <w:rsid w:val="7C5B350C"/>
    <w:rsid w:val="7C991510"/>
    <w:rsid w:val="7D301F73"/>
    <w:rsid w:val="7D657644"/>
    <w:rsid w:val="7D9034D2"/>
    <w:rsid w:val="7DF807AD"/>
    <w:rsid w:val="7E355268"/>
    <w:rsid w:val="7E6D055E"/>
    <w:rsid w:val="7ED405DD"/>
    <w:rsid w:val="7EE54599"/>
    <w:rsid w:val="7EFC18E2"/>
    <w:rsid w:val="7F086945"/>
    <w:rsid w:val="7F19095E"/>
    <w:rsid w:val="7F3B065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Strong"/>
    <w:basedOn w:val="9"/>
    <w:qFormat/>
    <w:uiPriority w:val="22"/>
    <w:rPr>
      <w:b/>
    </w:rPr>
  </w:style>
  <w:style w:type="paragraph" w:customStyle="1" w:styleId="11">
    <w:name w:val="BodyText1I2"/>
    <w:basedOn w:val="12"/>
    <w:autoRedefine/>
    <w:qFormat/>
    <w:uiPriority w:val="0"/>
    <w:pPr>
      <w:ind w:firstLine="640" w:firstLineChars="200"/>
      <w:jc w:val="left"/>
    </w:pPr>
    <w:rPr>
      <w:rFonts w:ascii="Times New Roman" w:hAnsi="Times New Roman" w:eastAsia="仿宋_GB2312"/>
      <w:bCs/>
      <w:sz w:val="32"/>
      <w:szCs w:val="32"/>
    </w:rPr>
  </w:style>
  <w:style w:type="paragraph" w:customStyle="1" w:styleId="12">
    <w:name w:val="BodyText"/>
    <w:basedOn w:val="1"/>
    <w:autoRedefine/>
    <w:qFormat/>
    <w:uiPriority w:val="0"/>
    <w:pPr>
      <w:suppressAutoHyphens/>
      <w:spacing w:after="140" w:line="276" w:lineRule="auto"/>
      <w:textAlignment w:val="baseline"/>
    </w:pPr>
  </w:style>
  <w:style w:type="character" w:customStyle="1" w:styleId="13">
    <w:name w:val="页眉 Char"/>
    <w:basedOn w:val="9"/>
    <w:link w:val="6"/>
    <w:autoRedefine/>
    <w:qFormat/>
    <w:uiPriority w:val="99"/>
    <w:rPr>
      <w:sz w:val="18"/>
      <w:szCs w:val="18"/>
    </w:rPr>
  </w:style>
  <w:style w:type="character" w:customStyle="1" w:styleId="14">
    <w:name w:val="页脚 Char"/>
    <w:basedOn w:val="9"/>
    <w:link w:val="5"/>
    <w:autoRedefine/>
    <w:qFormat/>
    <w:uiPriority w:val="99"/>
    <w:rPr>
      <w:sz w:val="18"/>
      <w:szCs w:val="18"/>
    </w:rPr>
  </w:style>
  <w:style w:type="paragraph" w:customStyle="1" w:styleId="15">
    <w:name w:val="一级条标题"/>
    <w:next w:val="16"/>
    <w:autoRedefine/>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二级条标题"/>
    <w:basedOn w:val="15"/>
    <w:next w:val="16"/>
    <w:autoRedefine/>
    <w:qFormat/>
    <w:uiPriority w:val="0"/>
    <w:pPr>
      <w:spacing w:before="50" w:after="50"/>
      <w:outlineLvl w:val="3"/>
    </w:pPr>
  </w:style>
  <w:style w:type="character" w:customStyle="1" w:styleId="18">
    <w:name w:val="批注框文本 Char"/>
    <w:basedOn w:val="9"/>
    <w:link w:val="4"/>
    <w:autoRedefine/>
    <w:semiHidden/>
    <w:qFormat/>
    <w:uiPriority w:val="99"/>
    <w:rPr>
      <w:rFonts w:ascii="Calibri" w:hAnsi="Calibri"/>
      <w:kern w:val="2"/>
      <w:sz w:val="18"/>
      <w:szCs w:val="18"/>
    </w:rPr>
  </w:style>
  <w:style w:type="paragraph" w:customStyle="1" w:styleId="19">
    <w:name w:val="Char Char1 Char Char"/>
    <w:basedOn w:val="1"/>
    <w:autoRedefine/>
    <w:qFormat/>
    <w:uiPriority w:val="0"/>
    <w:pPr>
      <w:widowControl/>
      <w:overflowPunct w:val="0"/>
      <w:snapToGrid w:val="0"/>
      <w:spacing w:after="160" w:line="240" w:lineRule="exact"/>
      <w:ind w:firstLine="200" w:firstLineChars="200"/>
      <w:jc w:val="left"/>
    </w:pPr>
    <w:rPr>
      <w:rFonts w:ascii="Arial" w:hAnsi="Arial" w:eastAsia="Times New Roman" w:cs="Verdana"/>
      <w:b/>
      <w:kern w:val="0"/>
      <w:sz w:val="24"/>
      <w:szCs w:val="32"/>
      <w:lang w:eastAsia="en-US"/>
    </w:rPr>
  </w:style>
  <w:style w:type="paragraph" w:customStyle="1" w:styleId="20">
    <w:name w:val="Char Char1 Char Char1"/>
    <w:basedOn w:val="1"/>
    <w:qFormat/>
    <w:uiPriority w:val="0"/>
    <w:pPr>
      <w:widowControl/>
      <w:overflowPunct w:val="0"/>
      <w:snapToGrid w:val="0"/>
      <w:spacing w:after="160" w:line="240" w:lineRule="exact"/>
      <w:ind w:firstLine="200" w:firstLineChars="200"/>
      <w:jc w:val="left"/>
    </w:pPr>
    <w:rPr>
      <w:rFonts w:ascii="Arial" w:hAnsi="Arial" w:eastAsia="Times New Roman" w:cs="Verdana"/>
      <w:b/>
      <w:kern w:val="0"/>
      <w:sz w:val="24"/>
      <w:szCs w:val="32"/>
      <w:lang w:eastAsia="en-US"/>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4556</Words>
  <Characters>4566</Characters>
  <Lines>33</Lines>
  <Paragraphs>9</Paragraphs>
  <TotalTime>0</TotalTime>
  <ScaleCrop>false</ScaleCrop>
  <LinksUpToDate>false</LinksUpToDate>
  <CharactersWithSpaces>4619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2026-01-06T01:47:00Z</dcterms:created>
  <dc:creator>马竞霄</dc:creator>
  <cp:lastModifiedBy>WPS_1693237857</cp:lastModifiedBy>
  <cp:lastPrinted>2025-12-26T06:16:00Z</cp:lastPrinted>
  <dcterms:modified xsi:type="dcterms:W3CDTF">2026-01-13T07:31:21Z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4A2E8AE3829340A1B964C15B9D1758E8_13</vt:lpwstr>
  </property>
  <property fmtid="{D5CDD505-2E9C-101B-9397-08002B2CF9AE}" pid="4" name="KSOTemplateDocerSaveRecord">
    <vt:lpwstr>eyJoZGlkIjoiOTVmNGY1MmVlNzY0ZTA5ZGY3MWIwYTRjNmVlYTZjZmEiLCJ1c2VySWQiOiI2NTQ5Mjg3ODcifQ==</vt:lpwstr>
  </property>
</Properties>
</file>